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4499"/>
        <w:gridCol w:w="3102"/>
      </w:tblGrid>
      <w:tr w:rsidR="00F51C22" w:rsidRPr="00276511" w14:paraId="294E3453" w14:textId="77777777" w:rsidTr="00155ED2">
        <w:trPr>
          <w:trHeight w:val="524"/>
        </w:trPr>
        <w:tc>
          <w:tcPr>
            <w:tcW w:w="102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268DBCE" w14:textId="77777777" w:rsidR="00F51C22" w:rsidRDefault="00F51C22" w:rsidP="00155ED2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Dzemal Bijedic University of Mostar </w:t>
            </w:r>
          </w:p>
          <w:p w14:paraId="2BC5377E" w14:textId="77777777" w:rsidR="00F51C22" w:rsidRDefault="00F51C22" w:rsidP="00155ED2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Faculty: Agromediterranean Faculty</w:t>
            </w:r>
          </w:p>
          <w:p w14:paraId="47EEA574" w14:textId="77777777" w:rsidR="00F51C22" w:rsidRPr="00276511" w:rsidRDefault="00F51C22" w:rsidP="00155ED2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Department: Ecology and enviromental management in agriculture</w:t>
            </w:r>
          </w:p>
        </w:tc>
      </w:tr>
      <w:tr w:rsidR="00F51C22" w:rsidRPr="0027558B" w14:paraId="7BB276C6" w14:textId="77777777" w:rsidTr="00155ED2">
        <w:trPr>
          <w:trHeight w:val="436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3A1E2F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title: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A4B63C" w14:textId="77777777" w:rsidR="00F51C22" w:rsidRPr="00542C0B" w:rsidRDefault="00F51C22" w:rsidP="00155ED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4F1A49">
              <w:rPr>
                <w:b/>
                <w:lang w:val="pl-PL"/>
              </w:rPr>
              <w:t>Rural landscape management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51EFE85F" w14:textId="77777777" w:rsidR="00F51C22" w:rsidRPr="00542C0B" w:rsidRDefault="00F51C22" w:rsidP="00155ED2">
            <w:pPr>
              <w:pStyle w:val="Heading1"/>
              <w:jc w:val="center"/>
              <w:rPr>
                <w:b/>
                <w:sz w:val="20"/>
                <w:szCs w:val="20"/>
              </w:rPr>
            </w:pPr>
          </w:p>
        </w:tc>
      </w:tr>
      <w:tr w:rsidR="00F51C22" w:rsidRPr="0027558B" w14:paraId="39FBCE78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8838A36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Cycle level, years of study, semester</w:t>
            </w:r>
          </w:p>
        </w:tc>
        <w:tc>
          <w:tcPr>
            <w:tcW w:w="3761" w:type="dxa"/>
            <w:tcBorders>
              <w:left w:val="double" w:sz="4" w:space="0" w:color="auto"/>
            </w:tcBorders>
            <w:vAlign w:val="center"/>
          </w:tcPr>
          <w:p w14:paraId="3959EBE5" w14:textId="77777777" w:rsidR="00F51C22" w:rsidRPr="00542C0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II, II, III</w:t>
            </w:r>
          </w:p>
        </w:tc>
        <w:tc>
          <w:tcPr>
            <w:tcW w:w="3213" w:type="dxa"/>
            <w:vAlign w:val="center"/>
          </w:tcPr>
          <w:p w14:paraId="49BB8576" w14:textId="77777777" w:rsidR="00F51C22" w:rsidRPr="00542C0B" w:rsidRDefault="00F51C22" w:rsidP="00155ED2">
            <w:pPr>
              <w:jc w:val="center"/>
              <w:rPr>
                <w:sz w:val="20"/>
                <w:szCs w:val="20"/>
              </w:rPr>
            </w:pPr>
          </w:p>
        </w:tc>
      </w:tr>
      <w:tr w:rsidR="00F51C22" w:rsidRPr="0027558B" w14:paraId="37A5E5B9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C2C99D4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001346">
              <w:rPr>
                <w:b/>
                <w:sz w:val="20"/>
                <w:szCs w:val="20"/>
              </w:rPr>
              <w:t>ecturer on the subject</w:t>
            </w:r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26161164" w14:textId="77777777" w:rsidR="00F51C22" w:rsidRPr="003C57F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Elma Temim</w:t>
            </w:r>
          </w:p>
        </w:tc>
      </w:tr>
      <w:tr w:rsidR="00F51C22" w:rsidRPr="0027558B" w14:paraId="2F2EC3C1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26AAD1E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Contact details: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0180399C" w14:textId="77777777" w:rsidR="00F51C22" w:rsidRPr="003C57FB" w:rsidRDefault="00F51C22" w:rsidP="00155ED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Elma.temim@unmo.ba</w:t>
            </w:r>
          </w:p>
        </w:tc>
      </w:tr>
      <w:tr w:rsidR="00F51C22" w:rsidRPr="0027558B" w14:paraId="75D186E3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01891CA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Total number of subject hours: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399DCD16" w14:textId="77777777" w:rsidR="00F51C22" w:rsidRPr="003C57F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+ 15</w:t>
            </w:r>
          </w:p>
        </w:tc>
      </w:tr>
      <w:tr w:rsidR="00F51C22" w:rsidRPr="0027558B" w14:paraId="38097009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230BC56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value</w:t>
            </w:r>
            <w:r w:rsidRPr="00276511">
              <w:rPr>
                <w:b/>
                <w:sz w:val="20"/>
                <w:szCs w:val="20"/>
              </w:rPr>
              <w:t xml:space="preserve"> ECTS-a: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22B5EB1D" w14:textId="77777777" w:rsidR="00F51C22" w:rsidRPr="003C57F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51C22" w:rsidRPr="0027558B" w14:paraId="3CD9A4AE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D1BD219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</w:t>
            </w:r>
            <w:r w:rsidRPr="00F63654">
              <w:rPr>
                <w:b/>
                <w:sz w:val="20"/>
                <w:szCs w:val="20"/>
              </w:rPr>
              <w:t xml:space="preserve"> Qualification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0F57F834" w14:textId="77777777" w:rsidR="00F51C22" w:rsidRPr="003C57FB" w:rsidRDefault="00F51C22" w:rsidP="00155ED2">
            <w:pPr>
              <w:rPr>
                <w:sz w:val="20"/>
                <w:szCs w:val="20"/>
              </w:rPr>
            </w:pPr>
          </w:p>
        </w:tc>
      </w:tr>
      <w:tr w:rsidR="00F51C22" w:rsidRPr="0027558B" w14:paraId="5150722A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48F6D1F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s</w:t>
            </w:r>
            <w:r w:rsidRPr="00276511">
              <w:rPr>
                <w:b/>
                <w:sz w:val="20"/>
                <w:szCs w:val="20"/>
              </w:rPr>
              <w:t>tatus: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0D5A03CC" w14:textId="77777777" w:rsidR="00F51C22" w:rsidRPr="003C57F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</w:tr>
      <w:tr w:rsidR="00F51C22" w:rsidRPr="0027558B" w14:paraId="429074ED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63892EC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Preliminary Examination Obligations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13691D29" w14:textId="77777777" w:rsidR="00F51C22" w:rsidRPr="003C57F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51C22" w:rsidRPr="0027558B" w14:paraId="012C1F62" w14:textId="77777777" w:rsidTr="00155ED2">
        <w:trPr>
          <w:trHeight w:val="364"/>
        </w:trPr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AE2896E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Access limitations on the subject: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1FBF18EE" w14:textId="77777777" w:rsidR="00F51C22" w:rsidRPr="003C57FB" w:rsidRDefault="00F51C22" w:rsidP="0015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51C22" w:rsidRPr="0027558B" w14:paraId="4F1DEBAA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4BC9991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DA0034">
              <w:rPr>
                <w:b/>
                <w:sz w:val="20"/>
                <w:szCs w:val="20"/>
              </w:rPr>
              <w:t>xplanation</w:t>
            </w:r>
            <w:r>
              <w:rPr>
                <w:b/>
                <w:sz w:val="20"/>
                <w:szCs w:val="20"/>
              </w:rPr>
              <w:t xml:space="preserve"> of ECTS value: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tbl>
            <w:tblPr>
              <w:tblW w:w="712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4"/>
              <w:gridCol w:w="2409"/>
              <w:gridCol w:w="2285"/>
            </w:tblGrid>
            <w:tr w:rsidR="00F51C22" w:rsidRPr="002D6D61" w14:paraId="6DF5F0A8" w14:textId="77777777" w:rsidTr="00155ED2">
              <w:trPr>
                <w:trHeight w:val="278"/>
              </w:trPr>
              <w:tc>
                <w:tcPr>
                  <w:tcW w:w="17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C148A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Contact hours</w:t>
                  </w:r>
                  <w:r w:rsidRPr="002D6D61">
                    <w:rPr>
                      <w:rFonts w:eastAsia="Calibri"/>
                      <w:sz w:val="18"/>
                      <w:szCs w:val="18"/>
                    </w:rPr>
                    <w:t>: 75</w:t>
                  </w:r>
                </w:p>
              </w:tc>
              <w:tc>
                <w:tcPr>
                  <w:tcW w:w="169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CAE57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2D6D61">
                    <w:rPr>
                      <w:rFonts w:eastAsia="Calibri"/>
                      <w:sz w:val="18"/>
                      <w:szCs w:val="18"/>
                    </w:rPr>
                    <w:t>Pra</w:t>
                  </w:r>
                  <w:r>
                    <w:rPr>
                      <w:rFonts w:eastAsia="Calibri"/>
                      <w:sz w:val="18"/>
                      <w:szCs w:val="18"/>
                    </w:rPr>
                    <w:t>ctical wok</w:t>
                  </w:r>
                  <w:r w:rsidRPr="002D6D61">
                    <w:rPr>
                      <w:rFonts w:eastAsia="Calibri"/>
                      <w:sz w:val="18"/>
                      <w:szCs w:val="18"/>
                    </w:rPr>
                    <w:t xml:space="preserve">: </w:t>
                  </w: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D090447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Esseys</w:t>
                  </w:r>
                  <w:r w:rsidRPr="002D6D61">
                    <w:rPr>
                      <w:rFonts w:eastAsia="Calibri"/>
                      <w:sz w:val="18"/>
                      <w:szCs w:val="18"/>
                    </w:rPr>
                    <w:t>: 20</w:t>
                  </w:r>
                </w:p>
              </w:tc>
            </w:tr>
            <w:tr w:rsidR="00F51C22" w:rsidRPr="002D6D61" w14:paraId="27B23C0D" w14:textId="77777777" w:rsidTr="00155ED2">
              <w:trPr>
                <w:trHeight w:val="278"/>
              </w:trPr>
              <w:tc>
                <w:tcPr>
                  <w:tcW w:w="17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E4735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2D6D61">
                    <w:rPr>
                      <w:rFonts w:eastAsia="Calibri"/>
                      <w:sz w:val="18"/>
                      <w:szCs w:val="18"/>
                    </w:rPr>
                    <w:t>Literatur</w:t>
                  </w:r>
                  <w:r>
                    <w:rPr>
                      <w:rFonts w:eastAsia="Calibri"/>
                      <w:sz w:val="18"/>
                      <w:szCs w:val="18"/>
                    </w:rPr>
                    <w:t>e</w:t>
                  </w:r>
                  <w:r w:rsidRPr="002D6D61">
                    <w:rPr>
                      <w:rFonts w:eastAsia="Calibri"/>
                      <w:sz w:val="18"/>
                      <w:szCs w:val="18"/>
                    </w:rPr>
                    <w:t>: 20</w:t>
                  </w:r>
                </w:p>
              </w:tc>
              <w:tc>
                <w:tcPr>
                  <w:tcW w:w="169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E7E91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2D6D61">
                    <w:rPr>
                      <w:rFonts w:eastAsia="Calibri"/>
                      <w:sz w:val="18"/>
                      <w:szCs w:val="18"/>
                    </w:rPr>
                    <w:t xml:space="preserve">Seminarski/Case study: </w:t>
                  </w: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66A5100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Exam preparaton</w:t>
                  </w:r>
                  <w:r w:rsidRPr="002D6D61">
                    <w:rPr>
                      <w:rFonts w:eastAsia="Calibri"/>
                      <w:sz w:val="18"/>
                      <w:szCs w:val="18"/>
                    </w:rPr>
                    <w:t>:35</w:t>
                  </w:r>
                </w:p>
              </w:tc>
            </w:tr>
            <w:tr w:rsidR="00F51C22" w:rsidRPr="002D6D61" w14:paraId="774A5FF5" w14:textId="77777777" w:rsidTr="00155ED2">
              <w:trPr>
                <w:trHeight w:val="278"/>
              </w:trPr>
              <w:tc>
                <w:tcPr>
                  <w:tcW w:w="17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68A66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2D6D61">
                    <w:rPr>
                      <w:rFonts w:eastAsia="Calibri"/>
                      <w:sz w:val="18"/>
                      <w:szCs w:val="18"/>
                    </w:rPr>
                    <w:t>Ostalo:</w:t>
                  </w:r>
                </w:p>
              </w:tc>
              <w:tc>
                <w:tcPr>
                  <w:tcW w:w="169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8566E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Total student effort</w:t>
                  </w:r>
                  <w:r w:rsidRPr="002D6D61">
                    <w:rPr>
                      <w:rFonts w:eastAsia="Calibri"/>
                      <w:sz w:val="18"/>
                      <w:szCs w:val="18"/>
                    </w:rPr>
                    <w:t>: 150</w:t>
                  </w: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4878AE" w14:textId="77777777" w:rsidR="00F51C22" w:rsidRPr="002D6D61" w:rsidRDefault="00F51C22" w:rsidP="00155ED2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14:paraId="7B503569" w14:textId="77777777" w:rsidR="00F51C22" w:rsidRPr="00276511" w:rsidRDefault="00F51C22" w:rsidP="00155ED2">
            <w:pPr>
              <w:jc w:val="center"/>
              <w:rPr>
                <w:sz w:val="20"/>
                <w:szCs w:val="20"/>
              </w:rPr>
            </w:pPr>
          </w:p>
        </w:tc>
      </w:tr>
      <w:tr w:rsidR="00F51C22" w:rsidRPr="003526D2" w14:paraId="2FF83061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9E6AF99" w14:textId="77777777" w:rsidR="00F51C22" w:rsidRPr="00DA0034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  <w:r w:rsidRPr="00DA0034">
              <w:rPr>
                <w:b/>
                <w:sz w:val="20"/>
                <w:szCs w:val="20"/>
              </w:rPr>
              <w:t xml:space="preserve"> goal: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31EB6E6E" w14:textId="77777777" w:rsidR="00F51C22" w:rsidRPr="00AD5D0E" w:rsidRDefault="00F51C22" w:rsidP="00155E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</w:pPr>
            <w:r>
              <w:rPr>
                <w:sz w:val="20"/>
                <w:szCs w:val="20"/>
              </w:rPr>
              <w:t>With this unit students are introduced with basic principles of rural landscape menagement as well as basic principles of rural ecology.</w:t>
            </w:r>
            <w:r>
              <w:rPr>
                <w:rStyle w:val="fontstyle01"/>
                <w:rFonts w:eastAsiaTheme="majorEastAsia"/>
              </w:rPr>
              <w:t xml:space="preserve"> </w:t>
            </w:r>
          </w:p>
        </w:tc>
      </w:tr>
      <w:tr w:rsidR="00F51C22" w:rsidRPr="0027558B" w14:paraId="201B3465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F64B87A" w14:textId="77777777" w:rsidR="00F51C22" w:rsidRPr="00AB4219" w:rsidRDefault="00F51C22" w:rsidP="00155ED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0034">
              <w:rPr>
                <w:b/>
                <w:sz w:val="20"/>
                <w:szCs w:val="20"/>
              </w:rPr>
              <w:t>Description of general and specific competences (knowledge and skills) / learning outcomes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360605D9" w14:textId="77777777" w:rsidR="00F51C22" w:rsidRPr="00AD5D0E" w:rsidRDefault="00F51C22" w:rsidP="00155ED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bs-Latn-BA"/>
              </w:rPr>
            </w:pPr>
            <w:r w:rsidRPr="00DD3C98">
              <w:rPr>
                <w:color w:val="000000"/>
                <w:sz w:val="20"/>
                <w:szCs w:val="20"/>
                <w:lang w:eastAsia="bs-Latn-BA"/>
              </w:rPr>
              <w:t xml:space="preserve">Upon the completion, the students will be able to </w:t>
            </w:r>
            <w:r w:rsidRPr="00D43326">
              <w:rPr>
                <w:rStyle w:val="fontstyle01"/>
                <w:rFonts w:eastAsiaTheme="majorEastAsia"/>
                <w:sz w:val="20"/>
                <w:szCs w:val="20"/>
              </w:rPr>
              <w:t xml:space="preserve">comprehend characteristics and types of rural landscape, give an overview of rural landscape in Bosnia and Herzegovina including description of rural landscape elements. </w:t>
            </w:r>
            <w:r>
              <w:rPr>
                <w:rStyle w:val="fontstyle01"/>
                <w:rFonts w:eastAsiaTheme="majorEastAsia"/>
                <w:sz w:val="20"/>
                <w:szCs w:val="20"/>
              </w:rPr>
              <w:t>They will be able to</w:t>
            </w:r>
            <w:r w:rsidRPr="00D43326">
              <w:rPr>
                <w:rStyle w:val="fontstyle01"/>
                <w:rFonts w:eastAsiaTheme="majorEastAsia"/>
                <w:sz w:val="20"/>
                <w:szCs w:val="20"/>
              </w:rPr>
              <w:t xml:space="preserve"> examine possibilities of rural landscape as organ food resources, its touristic potentials and management</w:t>
            </w:r>
            <w:r>
              <w:rPr>
                <w:rStyle w:val="fontstyle01"/>
                <w:rFonts w:eastAsiaTheme="majorEastAsia"/>
                <w:sz w:val="20"/>
                <w:szCs w:val="20"/>
              </w:rPr>
              <w:t>. They will also be provided with</w:t>
            </w:r>
            <w:r w:rsidRPr="00D43326">
              <w:rPr>
                <w:rStyle w:val="fontstyle01"/>
                <w:rFonts w:eastAsiaTheme="majorEastAsia"/>
                <w:sz w:val="20"/>
                <w:szCs w:val="20"/>
              </w:rPr>
              <w:t xml:space="preserve"> guidelines for sustainable development and protection of </w:t>
            </w:r>
            <w:r>
              <w:rPr>
                <w:rStyle w:val="fontstyle01"/>
                <w:rFonts w:eastAsiaTheme="majorEastAsia"/>
                <w:sz w:val="20"/>
                <w:szCs w:val="20"/>
              </w:rPr>
              <w:t>rural landscape</w:t>
            </w:r>
          </w:p>
        </w:tc>
      </w:tr>
      <w:tr w:rsidR="00F51C22" w:rsidRPr="0027558B" w14:paraId="513D81C4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B5C302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Course content: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2E070609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Introductory lectures</w:t>
            </w:r>
          </w:p>
          <w:p w14:paraId="5E7F46BB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2. Characteristics and types of rural landscapes (hilly, lowland)</w:t>
            </w:r>
          </w:p>
          <w:p w14:paraId="53C96E5E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3. Rural landscapes in Bosnia and Herzegovina</w:t>
            </w:r>
          </w:p>
          <w:p w14:paraId="719BDE58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4. Elements of rural landscapes in BiH</w:t>
            </w:r>
          </w:p>
          <w:p w14:paraId="03ADB9C7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5. Rural landscapes as resources for organic food production</w:t>
            </w:r>
          </w:p>
          <w:p w14:paraId="3ABCB8AC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6. Tourism potential of rural landscapes</w:t>
            </w:r>
          </w:p>
          <w:p w14:paraId="75056CDB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7. Rural landscape development – ​​measures</w:t>
            </w:r>
          </w:p>
          <w:p w14:paraId="6C2E0D9C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8. Rural landscape development – ​​design guidelines</w:t>
            </w:r>
          </w:p>
          <w:p w14:paraId="3DCD03D9" w14:textId="77777777" w:rsidR="00F51C22" w:rsidRPr="00446D39" w:rsidRDefault="00F51C22" w:rsidP="00155ED2">
            <w:pPr>
              <w:jc w:val="both"/>
              <w:rPr>
                <w:rStyle w:val="fontstyle01"/>
                <w:rFonts w:eastAsiaTheme="majorEastAsia"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9. Sustainable development of rural landscapes</w:t>
            </w:r>
          </w:p>
          <w:p w14:paraId="7D195E24" w14:textId="77777777" w:rsidR="00F51C22" w:rsidRPr="00B12133" w:rsidRDefault="00F51C22" w:rsidP="00155ED2">
            <w:pPr>
              <w:jc w:val="both"/>
              <w:rPr>
                <w:b/>
                <w:iCs/>
                <w:sz w:val="20"/>
                <w:szCs w:val="20"/>
              </w:rPr>
            </w:pPr>
            <w:r w:rsidRPr="00446D39">
              <w:rPr>
                <w:rStyle w:val="fontstyle01"/>
                <w:rFonts w:eastAsiaTheme="majorEastAsia"/>
                <w:sz w:val="20"/>
                <w:szCs w:val="20"/>
              </w:rPr>
              <w:t>10. Protection of rural landscapes</w:t>
            </w:r>
          </w:p>
        </w:tc>
      </w:tr>
      <w:tr w:rsidR="00F51C22" w:rsidRPr="0027558B" w14:paraId="0AAD6A42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FA80B41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Teaching methods /learning methods: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2CC4884B" w14:textId="77777777" w:rsidR="00F51C22" w:rsidRPr="00227520" w:rsidRDefault="00F51C22" w:rsidP="00155ED2">
            <w:pPr>
              <w:jc w:val="both"/>
              <w:rPr>
                <w:sz w:val="20"/>
                <w:szCs w:val="20"/>
              </w:rPr>
            </w:pPr>
            <w:r w:rsidRPr="00663DD4">
              <w:rPr>
                <w:sz w:val="20"/>
                <w:szCs w:val="20"/>
              </w:rPr>
              <w:t>Lectures, fieldwork, practical work</w:t>
            </w:r>
          </w:p>
        </w:tc>
      </w:tr>
      <w:tr w:rsidR="00F51C22" w:rsidRPr="0027558B" w14:paraId="491CCEA9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9D2249E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Other Student Obligations (if </w:t>
            </w:r>
            <w:r>
              <w:rPr>
                <w:b/>
                <w:sz w:val="20"/>
                <w:szCs w:val="20"/>
              </w:rPr>
              <w:t>foreseen</w:t>
            </w:r>
            <w:r w:rsidRPr="00DA0034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4DD3958B" w14:textId="77777777" w:rsidR="00F51C22" w:rsidRPr="00227520" w:rsidRDefault="00F51C22" w:rsidP="00155ED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No</w:t>
            </w:r>
          </w:p>
        </w:tc>
      </w:tr>
      <w:tr w:rsidR="00F51C22" w:rsidRPr="0027558B" w14:paraId="13EBA675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1310913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Assessment Methods / Methods of Examination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01361C63" w14:textId="77777777" w:rsidR="00F51C22" w:rsidRPr="00227520" w:rsidRDefault="00F51C22" w:rsidP="00155ED2">
            <w:pPr>
              <w:jc w:val="both"/>
              <w:rPr>
                <w:sz w:val="20"/>
                <w:szCs w:val="20"/>
              </w:rPr>
            </w:pPr>
            <w:r w:rsidRPr="00663DD4">
              <w:rPr>
                <w:sz w:val="20"/>
                <w:szCs w:val="20"/>
              </w:rPr>
              <w:t>Two tests (1 hour each) 20%; Final examination: 60%; Term paper attendance, activity: 20%;</w:t>
            </w:r>
          </w:p>
        </w:tc>
      </w:tr>
      <w:tr w:rsidR="00F51C22" w:rsidRPr="0027558B" w14:paraId="03D9BCA3" w14:textId="77777777" w:rsidTr="00155ED2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25D9B97" w14:textId="77777777" w:rsidR="00F51C22" w:rsidRPr="00DA0034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List of basic litera</w:t>
            </w:r>
            <w:r>
              <w:rPr>
                <w:b/>
                <w:sz w:val="20"/>
                <w:szCs w:val="20"/>
              </w:rPr>
              <w:t>ture and</w:t>
            </w:r>
          </w:p>
          <w:p w14:paraId="6C26C0F7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Internet web references: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25C5A271" w14:textId="77777777" w:rsidR="00F51C22" w:rsidRPr="00D43326" w:rsidRDefault="00F51C22" w:rsidP="00F51C22">
            <w:pPr>
              <w:numPr>
                <w:ilvl w:val="0"/>
                <w:numId w:val="1"/>
              </w:numPr>
              <w:jc w:val="both"/>
              <w:rPr>
                <w:rStyle w:val="fontstyle01"/>
                <w:rFonts w:eastAsiaTheme="majorEastAsia"/>
                <w:lang w:eastAsia="bs-Latn-BA"/>
              </w:rPr>
            </w:pPr>
            <w:r w:rsidRPr="00A16514">
              <w:rPr>
                <w:rStyle w:val="fontstyle01"/>
                <w:rFonts w:eastAsiaTheme="majorEastAsia"/>
                <w:lang w:val="it-IT"/>
              </w:rPr>
              <w:t>Cvejić, J. (1999.): Tipologija predela (Predeona ekologija), Beograd</w:t>
            </w:r>
          </w:p>
          <w:p w14:paraId="29F5934E" w14:textId="77777777" w:rsidR="00F51C22" w:rsidRPr="00D43326" w:rsidRDefault="00F51C22" w:rsidP="00F51C22">
            <w:pPr>
              <w:numPr>
                <w:ilvl w:val="0"/>
                <w:numId w:val="1"/>
              </w:numPr>
              <w:jc w:val="both"/>
              <w:rPr>
                <w:rStyle w:val="fontstyle01"/>
                <w:rFonts w:eastAsiaTheme="majorEastAsia"/>
                <w:lang w:eastAsia="bs-Latn-BA"/>
              </w:rPr>
            </w:pPr>
            <w:r>
              <w:rPr>
                <w:rStyle w:val="fontstyle01"/>
                <w:rFonts w:eastAsiaTheme="majorEastAsia"/>
              </w:rPr>
              <w:t>Lješević, M., (2002.): Ruralna ekologija, Beograd</w:t>
            </w:r>
          </w:p>
          <w:p w14:paraId="4D20F166" w14:textId="77777777" w:rsidR="00F51C22" w:rsidRPr="004905A6" w:rsidRDefault="00F51C22" w:rsidP="00F51C22">
            <w:pPr>
              <w:numPr>
                <w:ilvl w:val="0"/>
                <w:numId w:val="1"/>
              </w:numPr>
              <w:jc w:val="both"/>
            </w:pPr>
            <w:r w:rsidRPr="004C03C0">
              <w:rPr>
                <w:rStyle w:val="fontstyle01"/>
                <w:rFonts w:eastAsiaTheme="majorEastAsia"/>
              </w:rPr>
              <w:t>Temim, E., (2010.): Oblikovanje park – šume, Univerzitet „Dţ.</w:t>
            </w:r>
            <w:r w:rsidRPr="004C03C0"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  <w:rFonts w:eastAsiaTheme="majorEastAsia"/>
              </w:rPr>
              <w:t>Bijedić“Agromediteranski fakultet, Mostar (lectures material)</w:t>
            </w:r>
          </w:p>
        </w:tc>
      </w:tr>
      <w:tr w:rsidR="00F51C22" w:rsidRPr="0027558B" w14:paraId="6144D58B" w14:textId="77777777" w:rsidTr="00155ED2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3265FE1" w14:textId="77777777" w:rsidR="00F51C22" w:rsidRPr="00276511" w:rsidRDefault="00F51C22" w:rsidP="00155E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Quality </w:t>
            </w:r>
            <w:r w:rsidRPr="00E05C98">
              <w:rPr>
                <w:b/>
                <w:sz w:val="20"/>
                <w:szCs w:val="20"/>
              </w:rPr>
              <w:t>assurance and performance of the subjec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02390A17" w14:textId="77777777" w:rsidR="00F51C22" w:rsidRPr="004905A6" w:rsidRDefault="00F51C22" w:rsidP="00155ED2">
            <w:pPr>
              <w:jc w:val="both"/>
              <w:rPr>
                <w:sz w:val="20"/>
                <w:szCs w:val="20"/>
              </w:rPr>
            </w:pPr>
            <w:r w:rsidRPr="00A61A2B">
              <w:rPr>
                <w:sz w:val="20"/>
                <w:szCs w:val="20"/>
              </w:rPr>
              <w:t>Student evaluation of performance quality, survey of subject holders; periodic reports of the teaching staff on the lessons held and all forms of knowledge testing with suggestions for improvement.</w:t>
            </w:r>
          </w:p>
        </w:tc>
      </w:tr>
    </w:tbl>
    <w:p w14:paraId="0C0E548C" w14:textId="77777777" w:rsidR="005D0CB1" w:rsidRDefault="005D0CB1"/>
    <w:sectPr w:rsidR="005D0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522B8"/>
    <w:multiLevelType w:val="hybridMultilevel"/>
    <w:tmpl w:val="72849644"/>
    <w:lvl w:ilvl="0" w:tplc="AD9CE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22"/>
    <w:rsid w:val="00124756"/>
    <w:rsid w:val="005D0CB1"/>
    <w:rsid w:val="00BB2866"/>
    <w:rsid w:val="00EC4AB8"/>
    <w:rsid w:val="00F5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EB3C"/>
  <w15:chartTrackingRefBased/>
  <w15:docId w15:val="{2F256FC5-E434-4445-8D3E-43737924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2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F51C2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Student</dc:creator>
  <cp:keywords/>
  <dc:description/>
  <cp:lastModifiedBy>IRO Student</cp:lastModifiedBy>
  <cp:revision>1</cp:revision>
  <dcterms:created xsi:type="dcterms:W3CDTF">2025-12-12T08:50:00Z</dcterms:created>
  <dcterms:modified xsi:type="dcterms:W3CDTF">2025-12-12T08:51:00Z</dcterms:modified>
</cp:coreProperties>
</file>