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3761"/>
        <w:gridCol w:w="3213"/>
      </w:tblGrid>
      <w:tr w:rsidR="00276BC1" w:rsidRPr="00276511" w14:paraId="14641913" w14:textId="77777777" w:rsidTr="009C6808">
        <w:trPr>
          <w:trHeight w:val="524"/>
        </w:trPr>
        <w:tc>
          <w:tcPr>
            <w:tcW w:w="10287" w:type="dxa"/>
            <w:gridSpan w:val="3"/>
            <w:tcBorders>
              <w:top w:val="double" w:sz="4" w:space="0" w:color="auto"/>
              <w:bottom w:val="double" w:sz="4" w:space="0" w:color="auto"/>
            </w:tcBorders>
            <w:shd w:val="clear" w:color="auto" w:fill="CCCCCC"/>
            <w:vAlign w:val="center"/>
          </w:tcPr>
          <w:p w14:paraId="0B090A24" w14:textId="77777777" w:rsidR="00276BC1" w:rsidRDefault="00276BC1" w:rsidP="009C6808">
            <w:pPr>
              <w:jc w:val="center"/>
              <w:rPr>
                <w:b/>
                <w:spacing w:val="-3"/>
              </w:rPr>
            </w:pPr>
            <w:bookmarkStart w:id="0" w:name="_Hlk216083969"/>
            <w:r>
              <w:rPr>
                <w:b/>
                <w:spacing w:val="-3"/>
              </w:rPr>
              <w:t xml:space="preserve">Dzemal Bijedic University of Mostar </w:t>
            </w:r>
          </w:p>
          <w:p w14:paraId="74D6AC77" w14:textId="77777777" w:rsidR="00276BC1" w:rsidRDefault="00276BC1" w:rsidP="009C6808">
            <w:pPr>
              <w:jc w:val="center"/>
              <w:rPr>
                <w:b/>
                <w:spacing w:val="-3"/>
              </w:rPr>
            </w:pPr>
            <w:r>
              <w:rPr>
                <w:b/>
                <w:spacing w:val="-3"/>
              </w:rPr>
              <w:t>Faculty:</w:t>
            </w:r>
          </w:p>
          <w:p w14:paraId="6AA34392" w14:textId="77777777" w:rsidR="00276BC1" w:rsidRPr="00276511" w:rsidRDefault="00276BC1" w:rsidP="009C6808">
            <w:pPr>
              <w:jc w:val="center"/>
              <w:rPr>
                <w:b/>
                <w:spacing w:val="-3"/>
              </w:rPr>
            </w:pPr>
            <w:r>
              <w:rPr>
                <w:b/>
                <w:spacing w:val="-3"/>
              </w:rPr>
              <w:t xml:space="preserve">Department: </w:t>
            </w:r>
            <w:r w:rsidRPr="007D1107">
              <w:rPr>
                <w:b/>
                <w:spacing w:val="-3"/>
              </w:rPr>
              <w:t>Nursing program</w:t>
            </w:r>
          </w:p>
        </w:tc>
      </w:tr>
      <w:tr w:rsidR="00276BC1" w:rsidRPr="0027558B" w14:paraId="4A2931D0" w14:textId="77777777" w:rsidTr="009C6808">
        <w:trPr>
          <w:trHeight w:val="436"/>
        </w:trPr>
        <w:tc>
          <w:tcPr>
            <w:tcW w:w="3313" w:type="dxa"/>
            <w:tcBorders>
              <w:top w:val="double" w:sz="4" w:space="0" w:color="auto"/>
              <w:bottom w:val="single" w:sz="4" w:space="0" w:color="auto"/>
              <w:right w:val="double" w:sz="4" w:space="0" w:color="auto"/>
            </w:tcBorders>
            <w:shd w:val="clear" w:color="auto" w:fill="CCCCCC"/>
            <w:vAlign w:val="center"/>
          </w:tcPr>
          <w:p w14:paraId="5F22A9FE" w14:textId="77777777" w:rsidR="00276BC1" w:rsidRPr="00276511" w:rsidRDefault="00276BC1" w:rsidP="009C6808">
            <w:pPr>
              <w:jc w:val="center"/>
              <w:rPr>
                <w:b/>
                <w:sz w:val="20"/>
                <w:szCs w:val="20"/>
              </w:rPr>
            </w:pPr>
            <w:r>
              <w:rPr>
                <w:b/>
                <w:sz w:val="20"/>
                <w:szCs w:val="20"/>
              </w:rPr>
              <w:t>Subject title:</w:t>
            </w:r>
          </w:p>
        </w:tc>
        <w:tc>
          <w:tcPr>
            <w:tcW w:w="3761" w:type="dxa"/>
            <w:tcBorders>
              <w:top w:val="double" w:sz="4" w:space="0" w:color="auto"/>
              <w:left w:val="double" w:sz="4" w:space="0" w:color="auto"/>
            </w:tcBorders>
            <w:vAlign w:val="center"/>
          </w:tcPr>
          <w:p w14:paraId="4FE06909" w14:textId="2AE9C04F" w:rsidR="00276BC1" w:rsidRPr="00542C0B" w:rsidRDefault="00276BC1" w:rsidP="009C6808">
            <w:pPr>
              <w:jc w:val="center"/>
              <w:rPr>
                <w:b/>
                <w:sz w:val="20"/>
                <w:szCs w:val="20"/>
                <w:lang w:val="pl-PL"/>
              </w:rPr>
            </w:pPr>
            <w:r>
              <w:rPr>
                <w:b/>
                <w:sz w:val="20"/>
                <w:szCs w:val="20"/>
                <w:lang w:val="pl-PL"/>
              </w:rPr>
              <w:t>German language</w:t>
            </w:r>
            <w:r>
              <w:rPr>
                <w:b/>
                <w:sz w:val="20"/>
                <w:szCs w:val="20"/>
                <w:lang w:val="pl-PL"/>
              </w:rPr>
              <w:t xml:space="preserve"> II</w:t>
            </w:r>
          </w:p>
        </w:tc>
        <w:tc>
          <w:tcPr>
            <w:tcW w:w="3213" w:type="dxa"/>
            <w:tcBorders>
              <w:top w:val="double" w:sz="4" w:space="0" w:color="auto"/>
            </w:tcBorders>
            <w:vAlign w:val="center"/>
          </w:tcPr>
          <w:p w14:paraId="6F2A7075" w14:textId="77777777" w:rsidR="00276BC1" w:rsidRPr="00542C0B" w:rsidRDefault="00276BC1" w:rsidP="009C6808">
            <w:pPr>
              <w:pStyle w:val="Heading1"/>
              <w:jc w:val="center"/>
              <w:rPr>
                <w:b/>
                <w:sz w:val="20"/>
                <w:szCs w:val="20"/>
              </w:rPr>
            </w:pPr>
          </w:p>
        </w:tc>
      </w:tr>
      <w:tr w:rsidR="00276BC1" w:rsidRPr="0027558B" w14:paraId="4C6B57B9" w14:textId="77777777" w:rsidTr="009C6808">
        <w:tc>
          <w:tcPr>
            <w:tcW w:w="3313" w:type="dxa"/>
            <w:tcBorders>
              <w:top w:val="single" w:sz="4" w:space="0" w:color="auto"/>
              <w:bottom w:val="single" w:sz="4" w:space="0" w:color="auto"/>
              <w:right w:val="double" w:sz="4" w:space="0" w:color="auto"/>
            </w:tcBorders>
            <w:shd w:val="clear" w:color="auto" w:fill="CCCCCC"/>
            <w:vAlign w:val="center"/>
          </w:tcPr>
          <w:p w14:paraId="2968D566" w14:textId="77777777" w:rsidR="00276BC1" w:rsidRPr="00276511" w:rsidRDefault="00276BC1" w:rsidP="009C6808">
            <w:pPr>
              <w:jc w:val="center"/>
              <w:rPr>
                <w:b/>
                <w:sz w:val="20"/>
                <w:szCs w:val="20"/>
              </w:rPr>
            </w:pPr>
            <w:r w:rsidRPr="00F63654">
              <w:rPr>
                <w:b/>
                <w:sz w:val="20"/>
                <w:szCs w:val="20"/>
              </w:rPr>
              <w:t>Cycle level, years of study, semester</w:t>
            </w:r>
          </w:p>
        </w:tc>
        <w:tc>
          <w:tcPr>
            <w:tcW w:w="3761" w:type="dxa"/>
            <w:tcBorders>
              <w:left w:val="double" w:sz="4" w:space="0" w:color="auto"/>
            </w:tcBorders>
          </w:tcPr>
          <w:p w14:paraId="35CF85EB" w14:textId="77777777" w:rsidR="00276BC1" w:rsidRPr="00542C0B" w:rsidRDefault="00276BC1" w:rsidP="009C6808">
            <w:pPr>
              <w:jc w:val="center"/>
              <w:rPr>
                <w:sz w:val="20"/>
                <w:szCs w:val="20"/>
              </w:rPr>
            </w:pPr>
            <w:r w:rsidRPr="00A9074B">
              <w:rPr>
                <w:sz w:val="20"/>
                <w:szCs w:val="20"/>
              </w:rPr>
              <w:t>Undergraduate programme, cycle I</w:t>
            </w:r>
          </w:p>
        </w:tc>
        <w:tc>
          <w:tcPr>
            <w:tcW w:w="3213" w:type="dxa"/>
            <w:vAlign w:val="center"/>
          </w:tcPr>
          <w:p w14:paraId="7551565E" w14:textId="36657184" w:rsidR="00276BC1" w:rsidRPr="00542C0B" w:rsidRDefault="00276BC1" w:rsidP="009C6808">
            <w:pPr>
              <w:jc w:val="center"/>
              <w:rPr>
                <w:sz w:val="20"/>
                <w:szCs w:val="20"/>
              </w:rPr>
            </w:pPr>
            <w:r w:rsidRPr="00A9074B">
              <w:rPr>
                <w:rFonts w:ascii="TimesNewRomanPSMT" w:hAnsi="TimesNewRomanPSMT" w:cs="TimesNewRomanPSMT"/>
                <w:sz w:val="20"/>
                <w:szCs w:val="20"/>
              </w:rPr>
              <w:t>Year of study: I</w:t>
            </w:r>
            <w:r>
              <w:rPr>
                <w:rFonts w:ascii="TimesNewRomanPSMT" w:hAnsi="TimesNewRomanPSMT" w:cs="TimesNewRomanPSMT"/>
                <w:sz w:val="20"/>
                <w:szCs w:val="20"/>
              </w:rPr>
              <w:t>I</w:t>
            </w:r>
            <w:r w:rsidRPr="00A9074B">
              <w:rPr>
                <w:rFonts w:ascii="TimesNewRomanPSMT" w:hAnsi="TimesNewRomanPSMT" w:cs="TimesNewRomanPSMT"/>
                <w:sz w:val="20"/>
                <w:szCs w:val="20"/>
              </w:rPr>
              <w:t xml:space="preserve"> / Semester: I</w:t>
            </w:r>
            <w:r>
              <w:rPr>
                <w:rFonts w:ascii="TimesNewRomanPSMT" w:hAnsi="TimesNewRomanPSMT" w:cs="TimesNewRomanPSMT"/>
                <w:sz w:val="20"/>
                <w:szCs w:val="20"/>
              </w:rPr>
              <w:t>I</w:t>
            </w:r>
            <w:r>
              <w:rPr>
                <w:rFonts w:ascii="TimesNewRomanPSMT" w:hAnsi="TimesNewRomanPSMT" w:cs="TimesNewRomanPSMT"/>
                <w:sz w:val="20"/>
                <w:szCs w:val="20"/>
              </w:rPr>
              <w:t>I + IV</w:t>
            </w:r>
          </w:p>
        </w:tc>
      </w:tr>
      <w:tr w:rsidR="00276BC1" w:rsidRPr="0027558B" w14:paraId="00C44A7D" w14:textId="77777777" w:rsidTr="009C6808">
        <w:tc>
          <w:tcPr>
            <w:tcW w:w="3313" w:type="dxa"/>
            <w:tcBorders>
              <w:top w:val="single" w:sz="4" w:space="0" w:color="auto"/>
              <w:bottom w:val="single" w:sz="4" w:space="0" w:color="auto"/>
              <w:right w:val="double" w:sz="4" w:space="0" w:color="auto"/>
            </w:tcBorders>
            <w:shd w:val="clear" w:color="auto" w:fill="CCCCCC"/>
            <w:vAlign w:val="center"/>
          </w:tcPr>
          <w:p w14:paraId="4D112C8C" w14:textId="77777777" w:rsidR="00276BC1" w:rsidRPr="00276511" w:rsidRDefault="00276BC1" w:rsidP="009C6808">
            <w:pPr>
              <w:jc w:val="center"/>
              <w:rPr>
                <w:b/>
                <w:sz w:val="20"/>
                <w:szCs w:val="20"/>
              </w:rPr>
            </w:pPr>
            <w:r>
              <w:rPr>
                <w:b/>
                <w:sz w:val="20"/>
                <w:szCs w:val="20"/>
              </w:rPr>
              <w:t>L</w:t>
            </w:r>
            <w:r w:rsidRPr="00001346">
              <w:rPr>
                <w:b/>
                <w:sz w:val="20"/>
                <w:szCs w:val="20"/>
              </w:rPr>
              <w:t>ecturer on the subject</w:t>
            </w:r>
            <w:r w:rsidRPr="00276511">
              <w:rPr>
                <w:b/>
                <w:sz w:val="20"/>
                <w:szCs w:val="20"/>
              </w:rPr>
              <w:t>:</w:t>
            </w:r>
          </w:p>
        </w:tc>
        <w:tc>
          <w:tcPr>
            <w:tcW w:w="6974" w:type="dxa"/>
            <w:gridSpan w:val="2"/>
            <w:tcBorders>
              <w:left w:val="double" w:sz="4" w:space="0" w:color="auto"/>
            </w:tcBorders>
            <w:vAlign w:val="center"/>
          </w:tcPr>
          <w:p w14:paraId="26E6D69F" w14:textId="77777777" w:rsidR="00276BC1" w:rsidRPr="003C57FB" w:rsidRDefault="00276BC1" w:rsidP="009C6808">
            <w:pPr>
              <w:jc w:val="center"/>
              <w:rPr>
                <w:sz w:val="20"/>
                <w:szCs w:val="20"/>
              </w:rPr>
            </w:pPr>
            <w:r>
              <w:rPr>
                <w:sz w:val="20"/>
                <w:szCs w:val="20"/>
              </w:rPr>
              <w:t xml:space="preserve">Anisa Trbonja-Omanić, Phd., </w:t>
            </w:r>
            <w:r w:rsidRPr="00A47FF9">
              <w:rPr>
                <w:sz w:val="20"/>
                <w:szCs w:val="20"/>
              </w:rPr>
              <w:t>associate professor</w:t>
            </w:r>
          </w:p>
        </w:tc>
      </w:tr>
      <w:tr w:rsidR="00276BC1" w:rsidRPr="0027558B" w14:paraId="043F377C" w14:textId="77777777" w:rsidTr="009C6808">
        <w:tc>
          <w:tcPr>
            <w:tcW w:w="3313" w:type="dxa"/>
            <w:tcBorders>
              <w:top w:val="single" w:sz="4" w:space="0" w:color="auto"/>
              <w:bottom w:val="single" w:sz="4" w:space="0" w:color="auto"/>
              <w:right w:val="double" w:sz="4" w:space="0" w:color="auto"/>
            </w:tcBorders>
            <w:shd w:val="clear" w:color="auto" w:fill="CCCCCC"/>
            <w:vAlign w:val="center"/>
          </w:tcPr>
          <w:p w14:paraId="056A3DC8" w14:textId="77777777" w:rsidR="00276BC1" w:rsidRPr="00276511" w:rsidRDefault="00276BC1" w:rsidP="009C6808">
            <w:pPr>
              <w:jc w:val="center"/>
              <w:rPr>
                <w:b/>
                <w:sz w:val="20"/>
                <w:szCs w:val="20"/>
              </w:rPr>
            </w:pPr>
            <w:r w:rsidRPr="00F63654">
              <w:rPr>
                <w:b/>
                <w:sz w:val="20"/>
                <w:szCs w:val="20"/>
              </w:rPr>
              <w:t>Contact details:</w:t>
            </w:r>
          </w:p>
        </w:tc>
        <w:tc>
          <w:tcPr>
            <w:tcW w:w="6974" w:type="dxa"/>
            <w:gridSpan w:val="2"/>
            <w:tcBorders>
              <w:left w:val="double" w:sz="4" w:space="0" w:color="auto"/>
            </w:tcBorders>
            <w:vAlign w:val="center"/>
          </w:tcPr>
          <w:p w14:paraId="57D0E71D" w14:textId="77777777" w:rsidR="00276BC1" w:rsidRPr="003C57FB" w:rsidRDefault="00276BC1" w:rsidP="009C6808">
            <w:pPr>
              <w:jc w:val="center"/>
              <w:rPr>
                <w:spacing w:val="-3"/>
                <w:sz w:val="20"/>
                <w:szCs w:val="20"/>
              </w:rPr>
            </w:pPr>
            <w:r>
              <w:rPr>
                <w:spacing w:val="-3"/>
                <w:sz w:val="20"/>
                <w:szCs w:val="20"/>
              </w:rPr>
              <w:t>anisa.trbonja@unmo.ba</w:t>
            </w:r>
          </w:p>
        </w:tc>
      </w:tr>
      <w:tr w:rsidR="00276BC1" w:rsidRPr="0027558B" w14:paraId="68203937" w14:textId="77777777" w:rsidTr="009C6808">
        <w:tc>
          <w:tcPr>
            <w:tcW w:w="3313" w:type="dxa"/>
            <w:tcBorders>
              <w:top w:val="single" w:sz="4" w:space="0" w:color="auto"/>
              <w:bottom w:val="single" w:sz="4" w:space="0" w:color="auto"/>
              <w:right w:val="double" w:sz="4" w:space="0" w:color="auto"/>
            </w:tcBorders>
            <w:shd w:val="clear" w:color="auto" w:fill="CCCCCC"/>
            <w:vAlign w:val="center"/>
          </w:tcPr>
          <w:p w14:paraId="08405283" w14:textId="77777777" w:rsidR="00276BC1" w:rsidRPr="00276511" w:rsidRDefault="00276BC1" w:rsidP="009C6808">
            <w:pPr>
              <w:jc w:val="center"/>
              <w:rPr>
                <w:b/>
                <w:sz w:val="20"/>
                <w:szCs w:val="20"/>
              </w:rPr>
            </w:pPr>
            <w:r w:rsidRPr="00F63654">
              <w:rPr>
                <w:b/>
                <w:sz w:val="20"/>
                <w:szCs w:val="20"/>
              </w:rPr>
              <w:t>Total number of subject hours:</w:t>
            </w:r>
          </w:p>
        </w:tc>
        <w:tc>
          <w:tcPr>
            <w:tcW w:w="6974" w:type="dxa"/>
            <w:gridSpan w:val="2"/>
            <w:tcBorders>
              <w:left w:val="double" w:sz="4" w:space="0" w:color="auto"/>
            </w:tcBorders>
            <w:vAlign w:val="center"/>
          </w:tcPr>
          <w:p w14:paraId="26AA237D" w14:textId="77777777" w:rsidR="00276BC1" w:rsidRPr="00A47FF9" w:rsidRDefault="00276BC1" w:rsidP="009C6808">
            <w:pPr>
              <w:jc w:val="center"/>
              <w:rPr>
                <w:bCs/>
                <w:sz w:val="20"/>
                <w:szCs w:val="20"/>
              </w:rPr>
            </w:pPr>
            <w:r w:rsidRPr="00A47FF9">
              <w:rPr>
                <w:bCs/>
                <w:sz w:val="20"/>
                <w:szCs w:val="20"/>
              </w:rPr>
              <w:t>60 class hours</w:t>
            </w:r>
          </w:p>
        </w:tc>
      </w:tr>
      <w:tr w:rsidR="00276BC1" w:rsidRPr="0027558B" w14:paraId="2D692559" w14:textId="77777777" w:rsidTr="009C6808">
        <w:tc>
          <w:tcPr>
            <w:tcW w:w="3313" w:type="dxa"/>
            <w:tcBorders>
              <w:top w:val="single" w:sz="4" w:space="0" w:color="auto"/>
              <w:bottom w:val="single" w:sz="4" w:space="0" w:color="auto"/>
              <w:right w:val="double" w:sz="4" w:space="0" w:color="auto"/>
            </w:tcBorders>
            <w:shd w:val="clear" w:color="auto" w:fill="CCCCCC"/>
            <w:vAlign w:val="center"/>
          </w:tcPr>
          <w:p w14:paraId="373FE5C5" w14:textId="77777777" w:rsidR="00276BC1" w:rsidRPr="00276511" w:rsidRDefault="00276BC1" w:rsidP="009C6808">
            <w:pPr>
              <w:jc w:val="center"/>
              <w:rPr>
                <w:b/>
                <w:sz w:val="20"/>
                <w:szCs w:val="20"/>
              </w:rPr>
            </w:pPr>
            <w:r>
              <w:rPr>
                <w:b/>
                <w:sz w:val="20"/>
                <w:szCs w:val="20"/>
              </w:rPr>
              <w:t>Credit value</w:t>
            </w:r>
            <w:r w:rsidRPr="00276511">
              <w:rPr>
                <w:b/>
                <w:sz w:val="20"/>
                <w:szCs w:val="20"/>
              </w:rPr>
              <w:t xml:space="preserve"> ECTS-a:</w:t>
            </w:r>
          </w:p>
        </w:tc>
        <w:tc>
          <w:tcPr>
            <w:tcW w:w="6974" w:type="dxa"/>
            <w:gridSpan w:val="2"/>
            <w:tcBorders>
              <w:left w:val="double" w:sz="4" w:space="0" w:color="auto"/>
            </w:tcBorders>
            <w:vAlign w:val="center"/>
          </w:tcPr>
          <w:p w14:paraId="295E9AE6" w14:textId="77777777" w:rsidR="00276BC1" w:rsidRPr="003C57FB" w:rsidRDefault="00276BC1" w:rsidP="009C6808">
            <w:pPr>
              <w:jc w:val="center"/>
              <w:rPr>
                <w:sz w:val="20"/>
                <w:szCs w:val="20"/>
              </w:rPr>
            </w:pPr>
            <w:r>
              <w:rPr>
                <w:sz w:val="20"/>
                <w:szCs w:val="20"/>
              </w:rPr>
              <w:t>4 ECTS</w:t>
            </w:r>
          </w:p>
        </w:tc>
      </w:tr>
      <w:tr w:rsidR="00276BC1" w:rsidRPr="0027558B" w14:paraId="1397D344" w14:textId="77777777" w:rsidTr="009C6808">
        <w:tc>
          <w:tcPr>
            <w:tcW w:w="3313" w:type="dxa"/>
            <w:tcBorders>
              <w:top w:val="single" w:sz="4" w:space="0" w:color="auto"/>
              <w:bottom w:val="single" w:sz="4" w:space="0" w:color="auto"/>
              <w:right w:val="double" w:sz="4" w:space="0" w:color="auto"/>
            </w:tcBorders>
            <w:shd w:val="clear" w:color="auto" w:fill="CCCCCC"/>
            <w:vAlign w:val="center"/>
          </w:tcPr>
          <w:p w14:paraId="35CA9F39" w14:textId="77777777" w:rsidR="00276BC1" w:rsidRPr="00276511" w:rsidRDefault="00276BC1" w:rsidP="009C6808">
            <w:pPr>
              <w:jc w:val="center"/>
              <w:rPr>
                <w:b/>
                <w:sz w:val="20"/>
                <w:szCs w:val="20"/>
              </w:rPr>
            </w:pPr>
            <w:r>
              <w:rPr>
                <w:b/>
                <w:sz w:val="20"/>
                <w:szCs w:val="20"/>
              </w:rPr>
              <w:t>Basic</w:t>
            </w:r>
            <w:r w:rsidRPr="00F63654">
              <w:rPr>
                <w:b/>
                <w:sz w:val="20"/>
                <w:szCs w:val="20"/>
              </w:rPr>
              <w:t xml:space="preserve"> Qualification</w:t>
            </w:r>
            <w:r>
              <w:rPr>
                <w:b/>
                <w:sz w:val="20"/>
                <w:szCs w:val="20"/>
              </w:rPr>
              <w:t>:</w:t>
            </w:r>
          </w:p>
        </w:tc>
        <w:tc>
          <w:tcPr>
            <w:tcW w:w="6974" w:type="dxa"/>
            <w:gridSpan w:val="2"/>
            <w:tcBorders>
              <w:left w:val="double" w:sz="4" w:space="0" w:color="auto"/>
            </w:tcBorders>
            <w:vAlign w:val="center"/>
          </w:tcPr>
          <w:p w14:paraId="394B2A05" w14:textId="0823F620" w:rsidR="00276BC1" w:rsidRPr="003C57FB" w:rsidRDefault="00276BC1" w:rsidP="009C6808">
            <w:pPr>
              <w:jc w:val="center"/>
              <w:rPr>
                <w:sz w:val="20"/>
                <w:szCs w:val="20"/>
              </w:rPr>
            </w:pPr>
            <w:r>
              <w:rPr>
                <w:sz w:val="20"/>
                <w:szCs w:val="20"/>
              </w:rPr>
              <w:t>Bachelor in</w:t>
            </w:r>
            <w:r w:rsidR="00647662">
              <w:rPr>
                <w:sz w:val="20"/>
                <w:szCs w:val="20"/>
              </w:rPr>
              <w:t xml:space="preserve"> </w:t>
            </w:r>
            <w:r w:rsidR="00647662" w:rsidRPr="00647662">
              <w:rPr>
                <w:bCs/>
                <w:spacing w:val="-3"/>
                <w:sz w:val="20"/>
                <w:szCs w:val="20"/>
              </w:rPr>
              <w:t>Nursing program</w:t>
            </w:r>
          </w:p>
        </w:tc>
      </w:tr>
      <w:tr w:rsidR="00276BC1" w:rsidRPr="0027558B" w14:paraId="55D4AF2C" w14:textId="77777777" w:rsidTr="009C6808">
        <w:tc>
          <w:tcPr>
            <w:tcW w:w="3313" w:type="dxa"/>
            <w:tcBorders>
              <w:top w:val="single" w:sz="4" w:space="0" w:color="auto"/>
              <w:bottom w:val="single" w:sz="4" w:space="0" w:color="auto"/>
              <w:right w:val="double" w:sz="4" w:space="0" w:color="auto"/>
            </w:tcBorders>
            <w:shd w:val="clear" w:color="auto" w:fill="CCCCCC"/>
            <w:vAlign w:val="center"/>
          </w:tcPr>
          <w:p w14:paraId="42909C30" w14:textId="77777777" w:rsidR="00276BC1" w:rsidRPr="00276511" w:rsidRDefault="00276BC1" w:rsidP="009C6808">
            <w:pPr>
              <w:jc w:val="center"/>
              <w:rPr>
                <w:b/>
                <w:sz w:val="20"/>
                <w:szCs w:val="20"/>
              </w:rPr>
            </w:pPr>
            <w:r>
              <w:rPr>
                <w:b/>
                <w:sz w:val="20"/>
                <w:szCs w:val="20"/>
              </w:rPr>
              <w:t>Subject s</w:t>
            </w:r>
            <w:r w:rsidRPr="00276511">
              <w:rPr>
                <w:b/>
                <w:sz w:val="20"/>
                <w:szCs w:val="20"/>
              </w:rPr>
              <w:t>tatus:</w:t>
            </w:r>
          </w:p>
        </w:tc>
        <w:tc>
          <w:tcPr>
            <w:tcW w:w="6974" w:type="dxa"/>
            <w:gridSpan w:val="2"/>
            <w:tcBorders>
              <w:left w:val="double" w:sz="4" w:space="0" w:color="auto"/>
            </w:tcBorders>
            <w:vAlign w:val="center"/>
          </w:tcPr>
          <w:p w14:paraId="40C4B807" w14:textId="77777777" w:rsidR="00276BC1" w:rsidRPr="003C57FB" w:rsidRDefault="00276BC1" w:rsidP="009C6808">
            <w:pPr>
              <w:jc w:val="center"/>
              <w:rPr>
                <w:sz w:val="20"/>
                <w:szCs w:val="20"/>
              </w:rPr>
            </w:pPr>
            <w:r>
              <w:rPr>
                <w:sz w:val="20"/>
                <w:szCs w:val="20"/>
              </w:rPr>
              <w:t>elective</w:t>
            </w:r>
          </w:p>
        </w:tc>
      </w:tr>
      <w:tr w:rsidR="00276BC1" w:rsidRPr="0027558B" w14:paraId="1D53EA5B" w14:textId="77777777" w:rsidTr="009C6808">
        <w:tc>
          <w:tcPr>
            <w:tcW w:w="3313" w:type="dxa"/>
            <w:tcBorders>
              <w:top w:val="single" w:sz="4" w:space="0" w:color="auto"/>
              <w:bottom w:val="single" w:sz="4" w:space="0" w:color="auto"/>
              <w:right w:val="double" w:sz="4" w:space="0" w:color="auto"/>
            </w:tcBorders>
            <w:shd w:val="clear" w:color="auto" w:fill="CCCCCC"/>
            <w:vAlign w:val="center"/>
          </w:tcPr>
          <w:p w14:paraId="5B510186" w14:textId="77777777" w:rsidR="00276BC1" w:rsidRPr="00276511" w:rsidRDefault="00276BC1" w:rsidP="009C6808">
            <w:pPr>
              <w:jc w:val="center"/>
              <w:rPr>
                <w:b/>
                <w:sz w:val="20"/>
                <w:szCs w:val="20"/>
              </w:rPr>
            </w:pPr>
            <w:r w:rsidRPr="00DA0034">
              <w:rPr>
                <w:b/>
                <w:sz w:val="20"/>
                <w:szCs w:val="20"/>
              </w:rPr>
              <w:t>Preliminary Examination Obligations</w:t>
            </w:r>
          </w:p>
        </w:tc>
        <w:tc>
          <w:tcPr>
            <w:tcW w:w="6974" w:type="dxa"/>
            <w:gridSpan w:val="2"/>
            <w:tcBorders>
              <w:left w:val="double" w:sz="4" w:space="0" w:color="auto"/>
            </w:tcBorders>
            <w:vAlign w:val="center"/>
          </w:tcPr>
          <w:p w14:paraId="4DB46A04" w14:textId="32371118" w:rsidR="00276BC1" w:rsidRPr="003C57FB" w:rsidRDefault="00647662" w:rsidP="00647662">
            <w:pPr>
              <w:jc w:val="center"/>
              <w:rPr>
                <w:sz w:val="20"/>
                <w:szCs w:val="20"/>
              </w:rPr>
            </w:pPr>
            <w:r>
              <w:rPr>
                <w:sz w:val="20"/>
                <w:szCs w:val="20"/>
              </w:rPr>
              <w:t>German language I</w:t>
            </w:r>
          </w:p>
        </w:tc>
      </w:tr>
      <w:tr w:rsidR="00276BC1" w:rsidRPr="0027558B" w14:paraId="4FBEE076" w14:textId="77777777" w:rsidTr="009C6808">
        <w:tc>
          <w:tcPr>
            <w:tcW w:w="3313" w:type="dxa"/>
            <w:tcBorders>
              <w:top w:val="single" w:sz="4" w:space="0" w:color="auto"/>
              <w:bottom w:val="single" w:sz="4" w:space="0" w:color="auto"/>
              <w:right w:val="double" w:sz="4" w:space="0" w:color="auto"/>
            </w:tcBorders>
            <w:shd w:val="clear" w:color="auto" w:fill="CCCCCC"/>
            <w:vAlign w:val="center"/>
          </w:tcPr>
          <w:p w14:paraId="375262CD" w14:textId="77777777" w:rsidR="00276BC1" w:rsidRPr="00276511" w:rsidRDefault="00276BC1" w:rsidP="009C6808">
            <w:pPr>
              <w:jc w:val="center"/>
              <w:rPr>
                <w:b/>
                <w:sz w:val="20"/>
                <w:szCs w:val="20"/>
              </w:rPr>
            </w:pPr>
            <w:r w:rsidRPr="00DA0034">
              <w:rPr>
                <w:b/>
                <w:sz w:val="20"/>
                <w:szCs w:val="20"/>
              </w:rPr>
              <w:t>Access limitations on the subject:</w:t>
            </w:r>
          </w:p>
        </w:tc>
        <w:tc>
          <w:tcPr>
            <w:tcW w:w="6974" w:type="dxa"/>
            <w:gridSpan w:val="2"/>
            <w:tcBorders>
              <w:left w:val="double" w:sz="4" w:space="0" w:color="auto"/>
            </w:tcBorders>
            <w:vAlign w:val="center"/>
          </w:tcPr>
          <w:p w14:paraId="6EA51FB9" w14:textId="77777777" w:rsidR="00276BC1" w:rsidRPr="003C57FB" w:rsidRDefault="00276BC1" w:rsidP="009C6808">
            <w:pPr>
              <w:jc w:val="center"/>
              <w:rPr>
                <w:sz w:val="20"/>
                <w:szCs w:val="20"/>
              </w:rPr>
            </w:pPr>
            <w:r>
              <w:rPr>
                <w:sz w:val="20"/>
                <w:szCs w:val="20"/>
              </w:rPr>
              <w:t>none</w:t>
            </w:r>
          </w:p>
        </w:tc>
      </w:tr>
      <w:tr w:rsidR="00276BC1" w:rsidRPr="0027558B" w14:paraId="0AAD7332" w14:textId="77777777" w:rsidTr="009C6808">
        <w:tc>
          <w:tcPr>
            <w:tcW w:w="3313" w:type="dxa"/>
            <w:tcBorders>
              <w:top w:val="single" w:sz="4" w:space="0" w:color="auto"/>
              <w:bottom w:val="single" w:sz="4" w:space="0" w:color="auto"/>
              <w:right w:val="double" w:sz="4" w:space="0" w:color="auto"/>
            </w:tcBorders>
            <w:shd w:val="clear" w:color="auto" w:fill="CCCCCC"/>
            <w:vAlign w:val="center"/>
          </w:tcPr>
          <w:p w14:paraId="68B5EA34" w14:textId="77777777" w:rsidR="00276BC1" w:rsidRPr="00276511" w:rsidRDefault="00276BC1" w:rsidP="009C6808">
            <w:pPr>
              <w:jc w:val="center"/>
              <w:rPr>
                <w:b/>
                <w:sz w:val="20"/>
                <w:szCs w:val="20"/>
              </w:rPr>
            </w:pPr>
            <w:r>
              <w:rPr>
                <w:b/>
                <w:sz w:val="20"/>
                <w:szCs w:val="20"/>
              </w:rPr>
              <w:t>E</w:t>
            </w:r>
            <w:r w:rsidRPr="00DA0034">
              <w:rPr>
                <w:b/>
                <w:sz w:val="20"/>
                <w:szCs w:val="20"/>
              </w:rPr>
              <w:t>xplanation</w:t>
            </w:r>
            <w:r>
              <w:rPr>
                <w:b/>
                <w:sz w:val="20"/>
                <w:szCs w:val="20"/>
              </w:rPr>
              <w:t xml:space="preserve"> of ECTS value:</w:t>
            </w:r>
          </w:p>
        </w:tc>
        <w:tc>
          <w:tcPr>
            <w:tcW w:w="6974" w:type="dxa"/>
            <w:gridSpan w:val="2"/>
            <w:tcBorders>
              <w:left w:val="double" w:sz="4" w:space="0" w:color="auto"/>
            </w:tcBorders>
            <w:vAlign w:val="center"/>
          </w:tcPr>
          <w:p w14:paraId="1F0129CD" w14:textId="3696E7D4" w:rsidR="00276BC1" w:rsidRPr="00647662" w:rsidRDefault="00647662" w:rsidP="00647662">
            <w:pPr>
              <w:rPr>
                <w:sz w:val="20"/>
                <w:szCs w:val="20"/>
                <w:lang w:val="en-US"/>
              </w:rPr>
            </w:pPr>
            <w:r w:rsidRPr="00647662">
              <w:rPr>
                <w:sz w:val="20"/>
                <w:szCs w:val="20"/>
                <w:lang w:val="en-US"/>
              </w:rPr>
              <w:t>A. Total workload for the course:</w:t>
            </w:r>
            <w:r>
              <w:rPr>
                <w:sz w:val="20"/>
                <w:szCs w:val="20"/>
                <w:lang w:val="en-US"/>
              </w:rPr>
              <w:t xml:space="preserve"> </w:t>
            </w:r>
            <w:r w:rsidRPr="00647662">
              <w:rPr>
                <w:sz w:val="20"/>
                <w:szCs w:val="20"/>
                <w:lang w:val="en-US"/>
              </w:rPr>
              <w:t>4 x 30 hours/credit = 120 hours</w:t>
            </w:r>
            <w:r w:rsidRPr="00647662">
              <w:rPr>
                <w:sz w:val="20"/>
                <w:szCs w:val="20"/>
                <w:lang w:val="en-US"/>
              </w:rPr>
              <w:br/>
              <w:t>B. Active teaching: 4 x 15 = 60 hours of lectures and exercises</w:t>
            </w:r>
            <w:r w:rsidRPr="00647662">
              <w:rPr>
                <w:sz w:val="20"/>
                <w:szCs w:val="20"/>
                <w:lang w:val="en-US"/>
              </w:rPr>
              <w:br/>
              <w:t>C. Final assessment: 10 hours</w:t>
            </w:r>
            <w:r w:rsidRPr="00647662">
              <w:rPr>
                <w:sz w:val="20"/>
                <w:szCs w:val="20"/>
                <w:lang w:val="en-US"/>
              </w:rPr>
              <w:br/>
              <w:t>D. Independent work / self-study: 50 hours</w:t>
            </w:r>
          </w:p>
        </w:tc>
      </w:tr>
      <w:tr w:rsidR="00276BC1" w:rsidRPr="003526D2" w14:paraId="7251D502" w14:textId="77777777" w:rsidTr="009C6808">
        <w:tc>
          <w:tcPr>
            <w:tcW w:w="3313" w:type="dxa"/>
            <w:tcBorders>
              <w:top w:val="single" w:sz="4" w:space="0" w:color="auto"/>
              <w:bottom w:val="single" w:sz="4" w:space="0" w:color="auto"/>
              <w:right w:val="double" w:sz="4" w:space="0" w:color="auto"/>
            </w:tcBorders>
            <w:shd w:val="clear" w:color="auto" w:fill="CCCCCC"/>
            <w:vAlign w:val="center"/>
          </w:tcPr>
          <w:p w14:paraId="3B28F0D9" w14:textId="77777777" w:rsidR="00276BC1" w:rsidRPr="00DA0034" w:rsidRDefault="00276BC1" w:rsidP="009C6808">
            <w:pPr>
              <w:jc w:val="center"/>
              <w:rPr>
                <w:b/>
                <w:sz w:val="20"/>
                <w:szCs w:val="20"/>
              </w:rPr>
            </w:pPr>
            <w:r>
              <w:rPr>
                <w:b/>
                <w:sz w:val="20"/>
                <w:szCs w:val="20"/>
              </w:rPr>
              <w:t>Subject</w:t>
            </w:r>
            <w:r w:rsidRPr="00DA0034">
              <w:rPr>
                <w:b/>
                <w:sz w:val="20"/>
                <w:szCs w:val="20"/>
              </w:rPr>
              <w:t xml:space="preserve"> goal:</w:t>
            </w:r>
          </w:p>
        </w:tc>
        <w:tc>
          <w:tcPr>
            <w:tcW w:w="6974" w:type="dxa"/>
            <w:gridSpan w:val="2"/>
            <w:tcBorders>
              <w:left w:val="double" w:sz="4" w:space="0" w:color="auto"/>
            </w:tcBorders>
          </w:tcPr>
          <w:p w14:paraId="2CAC8AB4" w14:textId="492BA9D5" w:rsidR="005A5DD8" w:rsidRPr="005A5DD8" w:rsidRDefault="00276BC1" w:rsidP="005A5DD8">
            <w:pPr>
              <w:autoSpaceDE w:val="0"/>
              <w:autoSpaceDN w:val="0"/>
              <w:adjustRightInd w:val="0"/>
              <w:jc w:val="both"/>
              <w:rPr>
                <w:rFonts w:ascii="TimesNewRomanPSMT" w:hAnsi="TimesNewRomanPSMT" w:cs="TimesNewRomanPSMT"/>
                <w:sz w:val="20"/>
                <w:szCs w:val="20"/>
                <w:lang w:val="en-US" w:eastAsia="bs-Latn-BA"/>
              </w:rPr>
            </w:pPr>
            <w:r w:rsidRPr="00A47FF9">
              <w:rPr>
                <w:rFonts w:ascii="TimesNewRomanPSMT" w:hAnsi="TimesNewRomanPSMT" w:cs="TimesNewRomanPSMT"/>
                <w:sz w:val="20"/>
                <w:szCs w:val="20"/>
                <w:lang w:eastAsia="bs-Latn-BA"/>
              </w:rPr>
              <w:t>The aim of the German Language course is for students to acquire the basics of the German language and to develop the ability to write, read, understand, and engage in general conversation in German (A1 level) according to the Common European Framework of Reference.</w:t>
            </w:r>
            <w:r w:rsidRPr="00A47FF9">
              <w:rPr>
                <w:rFonts w:ascii="TimesNewRomanPSMT" w:hAnsi="TimesNewRomanPSMT" w:cs="TimesNewRomanPSMT"/>
                <w:sz w:val="20"/>
                <w:szCs w:val="20"/>
                <w:lang w:eastAsia="bs-Latn-BA"/>
              </w:rPr>
              <w:br/>
            </w:r>
            <w:r w:rsidR="005A5DD8" w:rsidRPr="005A5DD8">
              <w:rPr>
                <w:rFonts w:ascii="TimesNewRomanPSMT" w:hAnsi="TimesNewRomanPSMT" w:cs="TimesNewRomanPSMT"/>
                <w:sz w:val="20"/>
                <w:szCs w:val="20"/>
                <w:lang w:val="en-US" w:eastAsia="bs-Latn-BA"/>
              </w:rPr>
              <w:t>Students will be trained to read and understand specialized texts, as well as to engage in active general and professional conversation in German.</w:t>
            </w:r>
          </w:p>
        </w:tc>
      </w:tr>
      <w:tr w:rsidR="00276BC1" w:rsidRPr="0027558B" w14:paraId="72CF668F" w14:textId="77777777" w:rsidTr="009C6808">
        <w:tc>
          <w:tcPr>
            <w:tcW w:w="3313" w:type="dxa"/>
            <w:tcBorders>
              <w:top w:val="single" w:sz="4" w:space="0" w:color="auto"/>
              <w:bottom w:val="single" w:sz="4" w:space="0" w:color="auto"/>
              <w:right w:val="double" w:sz="4" w:space="0" w:color="auto"/>
            </w:tcBorders>
            <w:shd w:val="clear" w:color="auto" w:fill="CCCCCC"/>
            <w:vAlign w:val="center"/>
          </w:tcPr>
          <w:p w14:paraId="4865A1B7" w14:textId="77777777" w:rsidR="00276BC1" w:rsidRPr="00AB4219" w:rsidRDefault="00276BC1" w:rsidP="009C6808">
            <w:pPr>
              <w:jc w:val="center"/>
              <w:rPr>
                <w:b/>
                <w:sz w:val="20"/>
                <w:szCs w:val="20"/>
                <w:highlight w:val="yellow"/>
              </w:rPr>
            </w:pPr>
            <w:r w:rsidRPr="00DA0034">
              <w:rPr>
                <w:b/>
                <w:sz w:val="20"/>
                <w:szCs w:val="20"/>
              </w:rPr>
              <w:t>Description of general and specific competences (knowledge and skills) / learning outcomes</w:t>
            </w:r>
          </w:p>
        </w:tc>
        <w:tc>
          <w:tcPr>
            <w:tcW w:w="6974" w:type="dxa"/>
            <w:gridSpan w:val="2"/>
            <w:tcBorders>
              <w:left w:val="double" w:sz="4" w:space="0" w:color="auto"/>
            </w:tcBorders>
            <w:vAlign w:val="center"/>
          </w:tcPr>
          <w:p w14:paraId="7DF9CA36" w14:textId="17BB7645" w:rsidR="00276BC1" w:rsidRPr="00AD5D0E" w:rsidRDefault="00276BC1" w:rsidP="009C6808">
            <w:pPr>
              <w:autoSpaceDE w:val="0"/>
              <w:autoSpaceDN w:val="0"/>
              <w:adjustRightInd w:val="0"/>
              <w:jc w:val="both"/>
              <w:rPr>
                <w:sz w:val="20"/>
                <w:szCs w:val="20"/>
                <w:lang w:eastAsia="bs-Latn-BA"/>
              </w:rPr>
            </w:pPr>
            <w:r w:rsidRPr="00276BC1">
              <w:rPr>
                <w:sz w:val="20"/>
                <w:szCs w:val="20"/>
                <w:lang w:eastAsia="bs-Latn-BA"/>
              </w:rPr>
              <w:t>To review, consolidate, and expand the knowledge from the previous academic year; to develop the ability to read and understand specialized texts, as well as to engage in active general and professional communication in German.</w:t>
            </w:r>
          </w:p>
        </w:tc>
      </w:tr>
      <w:tr w:rsidR="00276BC1" w:rsidRPr="0027558B" w14:paraId="7E542A80" w14:textId="77777777" w:rsidTr="009C6808">
        <w:tc>
          <w:tcPr>
            <w:tcW w:w="3313" w:type="dxa"/>
            <w:tcBorders>
              <w:top w:val="single" w:sz="4" w:space="0" w:color="auto"/>
              <w:bottom w:val="single" w:sz="4" w:space="0" w:color="auto"/>
              <w:right w:val="double" w:sz="4" w:space="0" w:color="auto"/>
            </w:tcBorders>
            <w:shd w:val="clear" w:color="auto" w:fill="CCCCCC"/>
            <w:vAlign w:val="center"/>
          </w:tcPr>
          <w:p w14:paraId="199E805A" w14:textId="77777777" w:rsidR="00276BC1" w:rsidRPr="00276511" w:rsidRDefault="00276BC1" w:rsidP="009C6808">
            <w:pPr>
              <w:jc w:val="center"/>
              <w:rPr>
                <w:b/>
                <w:sz w:val="20"/>
                <w:szCs w:val="20"/>
              </w:rPr>
            </w:pPr>
            <w:r w:rsidRPr="00DA0034">
              <w:rPr>
                <w:b/>
                <w:sz w:val="20"/>
                <w:szCs w:val="20"/>
              </w:rPr>
              <w:t>Course content:</w:t>
            </w:r>
          </w:p>
        </w:tc>
        <w:tc>
          <w:tcPr>
            <w:tcW w:w="6974" w:type="dxa"/>
            <w:gridSpan w:val="2"/>
            <w:tcBorders>
              <w:left w:val="double" w:sz="4" w:space="0" w:color="auto"/>
            </w:tcBorders>
          </w:tcPr>
          <w:p w14:paraId="322AC086" w14:textId="77777777" w:rsidR="00276BC1" w:rsidRPr="00276BC1" w:rsidRDefault="00276BC1" w:rsidP="00276BC1">
            <w:pPr>
              <w:jc w:val="both"/>
              <w:rPr>
                <w:iCs/>
                <w:sz w:val="20"/>
                <w:szCs w:val="20"/>
              </w:rPr>
            </w:pPr>
            <w:r w:rsidRPr="00276BC1">
              <w:rPr>
                <w:b/>
                <w:bCs/>
                <w:iCs/>
                <w:sz w:val="20"/>
                <w:szCs w:val="20"/>
              </w:rPr>
              <w:t>Topics:</w:t>
            </w:r>
            <w:r w:rsidRPr="00276BC1">
              <w:rPr>
                <w:iCs/>
                <w:sz w:val="20"/>
                <w:szCs w:val="20"/>
              </w:rPr>
              <w:br/>
              <w:t>Evo verzije sa prirodnijim, stručno prihvaćenim terminima na engleskom, pogodnom za medicinsku/nursing praksu:</w:t>
            </w:r>
          </w:p>
          <w:p w14:paraId="2D28AE5F" w14:textId="4DF22F0B" w:rsidR="00276BC1" w:rsidRPr="00276BC1" w:rsidRDefault="00276BC1" w:rsidP="00276BC1">
            <w:pPr>
              <w:pStyle w:val="ListParagraph"/>
              <w:numPr>
                <w:ilvl w:val="0"/>
                <w:numId w:val="2"/>
              </w:numPr>
              <w:jc w:val="both"/>
              <w:rPr>
                <w:iCs/>
                <w:sz w:val="20"/>
                <w:szCs w:val="20"/>
                <w:lang w:val="de-DE"/>
              </w:rPr>
            </w:pPr>
            <w:r w:rsidRPr="00276BC1">
              <w:rPr>
                <w:iCs/>
                <w:sz w:val="20"/>
                <w:szCs w:val="20"/>
                <w:lang w:val="de-DE"/>
              </w:rPr>
              <w:t>Nursing professions and specialties</w:t>
            </w:r>
          </w:p>
          <w:p w14:paraId="0CB63640"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On the ward</w:t>
            </w:r>
          </w:p>
          <w:p w14:paraId="454BF085"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Patient admission</w:t>
            </w:r>
          </w:p>
          <w:p w14:paraId="0D56EBCC"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Patient transfer or discharge</w:t>
            </w:r>
          </w:p>
          <w:p w14:paraId="5AA09D8A"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Team meetings / case conferences</w:t>
            </w:r>
          </w:p>
          <w:p w14:paraId="5EC8AC52"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Communication via email and telephone</w:t>
            </w:r>
          </w:p>
          <w:p w14:paraId="5387A2ED"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Hospital organization and handling complaints</w:t>
            </w:r>
          </w:p>
          <w:p w14:paraId="15822F79"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Health issues / medical conditions</w:t>
            </w:r>
          </w:p>
          <w:p w14:paraId="3E63F279"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General nursing tasks</w:t>
            </w:r>
          </w:p>
          <w:p w14:paraId="1B59EAAB"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Care planning and weight monitoring</w:t>
            </w:r>
          </w:p>
          <w:p w14:paraId="638C6C60"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Nursing documentation / reports</w:t>
            </w:r>
          </w:p>
          <w:p w14:paraId="1D2678F1"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Measuring vital signs</w:t>
            </w:r>
          </w:p>
          <w:p w14:paraId="67FA75C3"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Nutrition and diet management</w:t>
            </w:r>
          </w:p>
          <w:p w14:paraId="0E84AD3C"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Test preparation</w:t>
            </w:r>
          </w:p>
          <w:p w14:paraId="12F67FC9"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Test 1</w:t>
            </w:r>
          </w:p>
          <w:p w14:paraId="15910336"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Making beds / bed preparation</w:t>
            </w:r>
          </w:p>
          <w:p w14:paraId="7734E324"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Medication administration</w:t>
            </w:r>
          </w:p>
          <w:p w14:paraId="42FAC295"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Diagnostic equipment and procedures</w:t>
            </w:r>
          </w:p>
          <w:p w14:paraId="29079430"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Blood sampling / phlebotomy</w:t>
            </w:r>
          </w:p>
          <w:p w14:paraId="22CCC8E9"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Patient hygiene / bathing</w:t>
            </w:r>
          </w:p>
          <w:p w14:paraId="25445376"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Assistive devices / aids</w:t>
            </w:r>
          </w:p>
          <w:p w14:paraId="49428DEA"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Thrombosis prevention</w:t>
            </w:r>
          </w:p>
          <w:p w14:paraId="194B1EC1"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Pain management</w:t>
            </w:r>
          </w:p>
          <w:p w14:paraId="71E7964C"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Prophylactic measures / preventive care</w:t>
            </w:r>
          </w:p>
          <w:p w14:paraId="5C7DC6B0"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Heart: anatomy and diagnoses</w:t>
            </w:r>
          </w:p>
          <w:p w14:paraId="603C2920"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Pressure ulcers (decubitus)</w:t>
            </w:r>
          </w:p>
          <w:p w14:paraId="7F028CA2"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Dressing changes / wound care</w:t>
            </w:r>
          </w:p>
          <w:p w14:paraId="1FDA2527" w14:textId="77777777" w:rsidR="00276BC1" w:rsidRPr="00276BC1" w:rsidRDefault="00276BC1" w:rsidP="00276BC1">
            <w:pPr>
              <w:numPr>
                <w:ilvl w:val="0"/>
                <w:numId w:val="3"/>
              </w:numPr>
              <w:jc w:val="both"/>
              <w:rPr>
                <w:iCs/>
                <w:sz w:val="20"/>
                <w:szCs w:val="20"/>
                <w:lang w:val="de-DE"/>
              </w:rPr>
            </w:pPr>
            <w:r w:rsidRPr="00276BC1">
              <w:rPr>
                <w:iCs/>
                <w:sz w:val="20"/>
                <w:szCs w:val="20"/>
                <w:lang w:val="de-DE"/>
              </w:rPr>
              <w:lastRenderedPageBreak/>
              <w:t>Documenting wounds</w:t>
            </w:r>
          </w:p>
          <w:p w14:paraId="0ED01E37" w14:textId="77777777" w:rsidR="00276BC1" w:rsidRPr="00276BC1" w:rsidRDefault="00276BC1" w:rsidP="00276BC1">
            <w:pPr>
              <w:numPr>
                <w:ilvl w:val="0"/>
                <w:numId w:val="3"/>
              </w:numPr>
              <w:jc w:val="both"/>
              <w:rPr>
                <w:iCs/>
                <w:sz w:val="20"/>
                <w:szCs w:val="20"/>
                <w:lang w:val="de-DE"/>
              </w:rPr>
            </w:pPr>
            <w:r w:rsidRPr="00276BC1">
              <w:rPr>
                <w:iCs/>
                <w:sz w:val="20"/>
                <w:szCs w:val="20"/>
                <w:lang w:val="de-DE"/>
              </w:rPr>
              <w:t>Test preparation</w:t>
            </w:r>
          </w:p>
          <w:p w14:paraId="60281FAD" w14:textId="236B545F" w:rsidR="00276BC1" w:rsidRPr="00276BC1" w:rsidRDefault="00276BC1" w:rsidP="00276BC1">
            <w:pPr>
              <w:numPr>
                <w:ilvl w:val="0"/>
                <w:numId w:val="3"/>
              </w:numPr>
              <w:jc w:val="both"/>
              <w:rPr>
                <w:iCs/>
                <w:sz w:val="20"/>
                <w:szCs w:val="20"/>
                <w:lang w:val="de-DE"/>
              </w:rPr>
            </w:pPr>
            <w:r w:rsidRPr="00276BC1">
              <w:rPr>
                <w:iCs/>
                <w:sz w:val="20"/>
                <w:szCs w:val="20"/>
                <w:lang w:val="de-DE"/>
              </w:rPr>
              <w:t>Test 2</w:t>
            </w:r>
          </w:p>
        </w:tc>
      </w:tr>
      <w:tr w:rsidR="00276BC1" w:rsidRPr="0027558B" w14:paraId="780962DF" w14:textId="77777777" w:rsidTr="009C6808">
        <w:tc>
          <w:tcPr>
            <w:tcW w:w="3313" w:type="dxa"/>
            <w:tcBorders>
              <w:top w:val="single" w:sz="4" w:space="0" w:color="auto"/>
              <w:bottom w:val="single" w:sz="4" w:space="0" w:color="auto"/>
              <w:right w:val="double" w:sz="4" w:space="0" w:color="auto"/>
            </w:tcBorders>
            <w:shd w:val="clear" w:color="auto" w:fill="CCCCCC"/>
            <w:vAlign w:val="center"/>
          </w:tcPr>
          <w:p w14:paraId="7DEF7DF6" w14:textId="77777777" w:rsidR="00276BC1" w:rsidRPr="00276511" w:rsidRDefault="00276BC1" w:rsidP="009C6808">
            <w:pPr>
              <w:jc w:val="center"/>
              <w:rPr>
                <w:b/>
                <w:sz w:val="20"/>
                <w:szCs w:val="20"/>
              </w:rPr>
            </w:pPr>
            <w:r w:rsidRPr="00DA0034">
              <w:rPr>
                <w:b/>
                <w:sz w:val="20"/>
                <w:szCs w:val="20"/>
              </w:rPr>
              <w:lastRenderedPageBreak/>
              <w:t>Teaching methods /learning methods:</w:t>
            </w:r>
          </w:p>
        </w:tc>
        <w:tc>
          <w:tcPr>
            <w:tcW w:w="6974" w:type="dxa"/>
            <w:gridSpan w:val="2"/>
            <w:tcBorders>
              <w:left w:val="double" w:sz="4" w:space="0" w:color="auto"/>
            </w:tcBorders>
            <w:vAlign w:val="center"/>
          </w:tcPr>
          <w:p w14:paraId="67C0442B" w14:textId="77777777" w:rsidR="00276BC1" w:rsidRPr="007D1107" w:rsidRDefault="00276BC1" w:rsidP="009C6808">
            <w:pPr>
              <w:jc w:val="both"/>
              <w:rPr>
                <w:sz w:val="20"/>
                <w:szCs w:val="20"/>
                <w:lang w:val="en-US"/>
              </w:rPr>
            </w:pPr>
            <w:r w:rsidRPr="007D1107">
              <w:rPr>
                <w:sz w:val="20"/>
                <w:szCs w:val="20"/>
                <w:lang w:val="en-US"/>
              </w:rPr>
              <w:t>Lectures, exercises, interactive teaching</w:t>
            </w:r>
          </w:p>
          <w:p w14:paraId="560424EC" w14:textId="77777777" w:rsidR="00276BC1" w:rsidRPr="007D1107" w:rsidRDefault="00276BC1" w:rsidP="009C6808">
            <w:pPr>
              <w:jc w:val="both"/>
              <w:rPr>
                <w:sz w:val="20"/>
                <w:szCs w:val="20"/>
              </w:rPr>
            </w:pPr>
          </w:p>
        </w:tc>
      </w:tr>
      <w:tr w:rsidR="00276BC1" w:rsidRPr="0027558B" w14:paraId="2147DC68" w14:textId="77777777" w:rsidTr="009C6808">
        <w:tc>
          <w:tcPr>
            <w:tcW w:w="3313" w:type="dxa"/>
            <w:tcBorders>
              <w:top w:val="single" w:sz="4" w:space="0" w:color="auto"/>
              <w:bottom w:val="single" w:sz="4" w:space="0" w:color="auto"/>
              <w:right w:val="double" w:sz="4" w:space="0" w:color="auto"/>
            </w:tcBorders>
            <w:shd w:val="clear" w:color="auto" w:fill="CCCCCC"/>
            <w:vAlign w:val="center"/>
          </w:tcPr>
          <w:p w14:paraId="1B230FDB" w14:textId="77777777" w:rsidR="00276BC1" w:rsidRPr="00276511" w:rsidRDefault="00276BC1" w:rsidP="009C6808">
            <w:pPr>
              <w:jc w:val="center"/>
              <w:rPr>
                <w:b/>
                <w:sz w:val="20"/>
                <w:szCs w:val="20"/>
              </w:rPr>
            </w:pPr>
            <w:r w:rsidRPr="00DA0034">
              <w:rPr>
                <w:b/>
                <w:sz w:val="20"/>
                <w:szCs w:val="20"/>
              </w:rPr>
              <w:t xml:space="preserve">Other Student Obligations (if </w:t>
            </w:r>
            <w:r>
              <w:rPr>
                <w:b/>
                <w:sz w:val="20"/>
                <w:szCs w:val="20"/>
              </w:rPr>
              <w:t>foreseen</w:t>
            </w:r>
            <w:r w:rsidRPr="00DA0034">
              <w:rPr>
                <w:b/>
                <w:sz w:val="20"/>
                <w:szCs w:val="20"/>
              </w:rPr>
              <w:t>):</w:t>
            </w:r>
          </w:p>
        </w:tc>
        <w:tc>
          <w:tcPr>
            <w:tcW w:w="6974" w:type="dxa"/>
            <w:gridSpan w:val="2"/>
            <w:tcBorders>
              <w:left w:val="double" w:sz="4" w:space="0" w:color="auto"/>
            </w:tcBorders>
            <w:vAlign w:val="center"/>
          </w:tcPr>
          <w:p w14:paraId="2B240E5D" w14:textId="77777777" w:rsidR="00276BC1" w:rsidRPr="00227520" w:rsidRDefault="00276BC1" w:rsidP="009C6808">
            <w:pPr>
              <w:jc w:val="center"/>
              <w:rPr>
                <w:spacing w:val="-3"/>
                <w:sz w:val="20"/>
                <w:szCs w:val="20"/>
              </w:rPr>
            </w:pPr>
            <w:r>
              <w:rPr>
                <w:spacing w:val="-3"/>
                <w:sz w:val="20"/>
                <w:szCs w:val="20"/>
              </w:rPr>
              <w:t>/</w:t>
            </w:r>
          </w:p>
        </w:tc>
      </w:tr>
      <w:tr w:rsidR="00276BC1" w:rsidRPr="0027558B" w14:paraId="6AB51F05" w14:textId="77777777" w:rsidTr="009C6808">
        <w:tc>
          <w:tcPr>
            <w:tcW w:w="3313" w:type="dxa"/>
            <w:tcBorders>
              <w:top w:val="single" w:sz="4" w:space="0" w:color="auto"/>
              <w:bottom w:val="single" w:sz="4" w:space="0" w:color="auto"/>
              <w:right w:val="double" w:sz="4" w:space="0" w:color="auto"/>
            </w:tcBorders>
            <w:shd w:val="clear" w:color="auto" w:fill="CCCCCC"/>
            <w:vAlign w:val="center"/>
          </w:tcPr>
          <w:p w14:paraId="5CDF345B" w14:textId="77777777" w:rsidR="00276BC1" w:rsidRPr="00276511" w:rsidRDefault="00276BC1" w:rsidP="009C6808">
            <w:pPr>
              <w:jc w:val="center"/>
              <w:rPr>
                <w:b/>
                <w:sz w:val="20"/>
                <w:szCs w:val="20"/>
              </w:rPr>
            </w:pPr>
            <w:r w:rsidRPr="00DA0034">
              <w:rPr>
                <w:b/>
                <w:sz w:val="20"/>
                <w:szCs w:val="20"/>
              </w:rPr>
              <w:t>Assessment Methods / Methods of Examination</w:t>
            </w:r>
          </w:p>
        </w:tc>
        <w:tc>
          <w:tcPr>
            <w:tcW w:w="6974" w:type="dxa"/>
            <w:gridSpan w:val="2"/>
            <w:tcBorders>
              <w:left w:val="double" w:sz="4" w:space="0" w:color="auto"/>
            </w:tcBorders>
            <w:vAlign w:val="center"/>
          </w:tcPr>
          <w:p w14:paraId="0599B178" w14:textId="77777777" w:rsidR="00276BC1" w:rsidRPr="00276BC1" w:rsidRDefault="00276BC1" w:rsidP="00276BC1">
            <w:pPr>
              <w:jc w:val="both"/>
              <w:rPr>
                <w:sz w:val="20"/>
                <w:szCs w:val="20"/>
                <w:lang w:val="en-US"/>
              </w:rPr>
            </w:pPr>
            <w:r w:rsidRPr="00276BC1">
              <w:rPr>
                <w:sz w:val="20"/>
                <w:szCs w:val="20"/>
                <w:lang w:val="en-US"/>
              </w:rPr>
              <w:t>Assessment includes one test at the end of each semester, class attendance, and an oral exam component.</w:t>
            </w:r>
          </w:p>
          <w:p w14:paraId="5DF71388" w14:textId="673B9CFC" w:rsidR="00276BC1" w:rsidRPr="00276BC1" w:rsidRDefault="00276BC1" w:rsidP="009C6808">
            <w:pPr>
              <w:jc w:val="both"/>
              <w:rPr>
                <w:sz w:val="20"/>
                <w:szCs w:val="20"/>
                <w:lang w:val="en-US"/>
              </w:rPr>
            </w:pPr>
          </w:p>
        </w:tc>
      </w:tr>
      <w:tr w:rsidR="00276BC1" w:rsidRPr="0027558B" w14:paraId="51587044" w14:textId="77777777" w:rsidTr="009C6808">
        <w:tc>
          <w:tcPr>
            <w:tcW w:w="3313" w:type="dxa"/>
            <w:tcBorders>
              <w:top w:val="single" w:sz="4" w:space="0" w:color="auto"/>
              <w:bottom w:val="single" w:sz="4" w:space="0" w:color="auto"/>
              <w:right w:val="double" w:sz="4" w:space="0" w:color="auto"/>
            </w:tcBorders>
            <w:shd w:val="clear" w:color="auto" w:fill="CCCCCC"/>
            <w:vAlign w:val="center"/>
          </w:tcPr>
          <w:p w14:paraId="4174021F" w14:textId="77777777" w:rsidR="00276BC1" w:rsidRPr="00DA0034" w:rsidRDefault="00276BC1" w:rsidP="009C6808">
            <w:pPr>
              <w:jc w:val="center"/>
              <w:rPr>
                <w:b/>
                <w:sz w:val="20"/>
                <w:szCs w:val="20"/>
              </w:rPr>
            </w:pPr>
            <w:r w:rsidRPr="00DA0034">
              <w:rPr>
                <w:b/>
                <w:sz w:val="20"/>
                <w:szCs w:val="20"/>
              </w:rPr>
              <w:t>List of basic litera</w:t>
            </w:r>
            <w:r>
              <w:rPr>
                <w:b/>
                <w:sz w:val="20"/>
                <w:szCs w:val="20"/>
              </w:rPr>
              <w:t>ture and</w:t>
            </w:r>
          </w:p>
          <w:p w14:paraId="1A822A0B" w14:textId="77777777" w:rsidR="00276BC1" w:rsidRPr="00276511" w:rsidRDefault="00276BC1" w:rsidP="009C6808">
            <w:pPr>
              <w:jc w:val="center"/>
              <w:rPr>
                <w:b/>
                <w:sz w:val="20"/>
                <w:szCs w:val="20"/>
              </w:rPr>
            </w:pPr>
            <w:r w:rsidRPr="00DA0034">
              <w:rPr>
                <w:b/>
                <w:sz w:val="20"/>
                <w:szCs w:val="20"/>
              </w:rPr>
              <w:t>Internet web references:</w:t>
            </w:r>
          </w:p>
        </w:tc>
        <w:tc>
          <w:tcPr>
            <w:tcW w:w="6974" w:type="dxa"/>
            <w:gridSpan w:val="2"/>
            <w:tcBorders>
              <w:left w:val="double" w:sz="4" w:space="0" w:color="auto"/>
            </w:tcBorders>
          </w:tcPr>
          <w:p w14:paraId="0E93A61D" w14:textId="772A0845" w:rsidR="00276BC1" w:rsidRPr="007D1107" w:rsidRDefault="00276BC1" w:rsidP="009C6808">
            <w:pPr>
              <w:spacing w:line="276" w:lineRule="auto"/>
              <w:rPr>
                <w:sz w:val="18"/>
                <w:szCs w:val="18"/>
                <w:lang w:val="de-DE"/>
              </w:rPr>
            </w:pPr>
            <w:r w:rsidRPr="00276BC1">
              <w:rPr>
                <w:bCs/>
                <w:i/>
                <w:iCs/>
                <w:sz w:val="20"/>
                <w:szCs w:val="20"/>
              </w:rPr>
              <w:t>Im Beruf neu. Fachwortschatztrainer</w:t>
            </w:r>
            <w:r>
              <w:rPr>
                <w:bCs/>
                <w:sz w:val="20"/>
                <w:szCs w:val="20"/>
              </w:rPr>
              <w:t>, Pflege, Hueber Verlag, München, 2018.</w:t>
            </w:r>
          </w:p>
        </w:tc>
      </w:tr>
      <w:tr w:rsidR="00276BC1" w:rsidRPr="0027558B" w14:paraId="1B3B61E2" w14:textId="77777777" w:rsidTr="009C6808">
        <w:tc>
          <w:tcPr>
            <w:tcW w:w="3313" w:type="dxa"/>
            <w:tcBorders>
              <w:top w:val="single" w:sz="4" w:space="0" w:color="auto"/>
              <w:bottom w:val="double" w:sz="4" w:space="0" w:color="auto"/>
              <w:right w:val="double" w:sz="4" w:space="0" w:color="auto"/>
            </w:tcBorders>
            <w:shd w:val="clear" w:color="auto" w:fill="CCCCCC"/>
            <w:vAlign w:val="center"/>
          </w:tcPr>
          <w:p w14:paraId="48D7B05A" w14:textId="77777777" w:rsidR="00276BC1" w:rsidRPr="00276511" w:rsidRDefault="00276BC1" w:rsidP="009C6808">
            <w:pPr>
              <w:jc w:val="center"/>
              <w:rPr>
                <w:b/>
                <w:sz w:val="20"/>
                <w:szCs w:val="20"/>
              </w:rPr>
            </w:pPr>
            <w:r>
              <w:rPr>
                <w:b/>
                <w:sz w:val="20"/>
                <w:szCs w:val="20"/>
              </w:rPr>
              <w:t xml:space="preserve">Quality </w:t>
            </w:r>
            <w:r w:rsidRPr="00E05C98">
              <w:rPr>
                <w:b/>
                <w:sz w:val="20"/>
                <w:szCs w:val="20"/>
              </w:rPr>
              <w:t>assurance and performance of the subjec</w:t>
            </w:r>
            <w:r>
              <w:rPr>
                <w:b/>
                <w:sz w:val="20"/>
                <w:szCs w:val="20"/>
              </w:rPr>
              <w:t>t</w:t>
            </w:r>
          </w:p>
        </w:tc>
        <w:tc>
          <w:tcPr>
            <w:tcW w:w="6974" w:type="dxa"/>
            <w:gridSpan w:val="2"/>
            <w:tcBorders>
              <w:left w:val="double" w:sz="4" w:space="0" w:color="auto"/>
            </w:tcBorders>
            <w:vAlign w:val="center"/>
          </w:tcPr>
          <w:p w14:paraId="159549C2" w14:textId="77777777" w:rsidR="00276BC1" w:rsidRPr="004905A6" w:rsidRDefault="00276BC1" w:rsidP="009C6808">
            <w:pPr>
              <w:jc w:val="center"/>
              <w:rPr>
                <w:sz w:val="20"/>
                <w:szCs w:val="20"/>
              </w:rPr>
            </w:pPr>
            <w:r w:rsidRPr="007D1107">
              <w:rPr>
                <w:sz w:val="20"/>
                <w:szCs w:val="20"/>
              </w:rPr>
              <w:t>student survey</w:t>
            </w:r>
          </w:p>
        </w:tc>
      </w:tr>
      <w:bookmarkEnd w:id="0"/>
    </w:tbl>
    <w:p w14:paraId="5026DCBD" w14:textId="77777777" w:rsidR="00276BC1" w:rsidRDefault="00276BC1" w:rsidP="00276BC1"/>
    <w:p w14:paraId="1C81536C" w14:textId="77777777" w:rsidR="00276BC1" w:rsidRDefault="00276BC1"/>
    <w:sectPr w:rsidR="00276B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D5D24"/>
    <w:multiLevelType w:val="multilevel"/>
    <w:tmpl w:val="E42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4F6544"/>
    <w:multiLevelType w:val="hybridMultilevel"/>
    <w:tmpl w:val="DED8BE48"/>
    <w:lvl w:ilvl="0" w:tplc="BBAAE6C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68126E5"/>
    <w:multiLevelType w:val="multilevel"/>
    <w:tmpl w:val="323EF48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5550584">
    <w:abstractNumId w:val="0"/>
  </w:num>
  <w:num w:numId="2" w16cid:durableId="1733503324">
    <w:abstractNumId w:val="1"/>
  </w:num>
  <w:num w:numId="3" w16cid:durableId="1390811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C1"/>
    <w:rsid w:val="00276BC1"/>
    <w:rsid w:val="005A5DD8"/>
    <w:rsid w:val="00647662"/>
    <w:rsid w:val="007C64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14E1"/>
  <w15:chartTrackingRefBased/>
  <w15:docId w15:val="{8ECC8959-8F46-4B0A-907A-3736639B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BC1"/>
    <w:pPr>
      <w:spacing w:after="0" w:line="240" w:lineRule="auto"/>
    </w:pPr>
    <w:rPr>
      <w:rFonts w:ascii="Times New Roman" w:eastAsia="Times New Roman" w:hAnsi="Times New Roman" w:cs="Times New Roman"/>
      <w:kern w:val="0"/>
      <w:lang w:val="bs-Latn-BA"/>
      <w14:ligatures w14:val="none"/>
    </w:rPr>
  </w:style>
  <w:style w:type="paragraph" w:styleId="Heading1">
    <w:name w:val="heading 1"/>
    <w:basedOn w:val="Normal"/>
    <w:next w:val="Normal"/>
    <w:link w:val="Heading1Char"/>
    <w:qFormat/>
    <w:rsid w:val="00276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B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B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B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B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B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B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B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6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BC1"/>
    <w:rPr>
      <w:rFonts w:eastAsiaTheme="majorEastAsia" w:cstheme="majorBidi"/>
      <w:color w:val="272727" w:themeColor="text1" w:themeTint="D8"/>
    </w:rPr>
  </w:style>
  <w:style w:type="paragraph" w:styleId="Title">
    <w:name w:val="Title"/>
    <w:basedOn w:val="Normal"/>
    <w:next w:val="Normal"/>
    <w:link w:val="TitleChar"/>
    <w:uiPriority w:val="10"/>
    <w:qFormat/>
    <w:rsid w:val="00276B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BC1"/>
    <w:pPr>
      <w:spacing w:before="160"/>
      <w:jc w:val="center"/>
    </w:pPr>
    <w:rPr>
      <w:i/>
      <w:iCs/>
      <w:color w:val="404040" w:themeColor="text1" w:themeTint="BF"/>
    </w:rPr>
  </w:style>
  <w:style w:type="character" w:customStyle="1" w:styleId="QuoteChar">
    <w:name w:val="Quote Char"/>
    <w:basedOn w:val="DefaultParagraphFont"/>
    <w:link w:val="Quote"/>
    <w:uiPriority w:val="29"/>
    <w:rsid w:val="00276BC1"/>
    <w:rPr>
      <w:i/>
      <w:iCs/>
      <w:color w:val="404040" w:themeColor="text1" w:themeTint="BF"/>
    </w:rPr>
  </w:style>
  <w:style w:type="paragraph" w:styleId="ListParagraph">
    <w:name w:val="List Paragraph"/>
    <w:basedOn w:val="Normal"/>
    <w:uiPriority w:val="34"/>
    <w:qFormat/>
    <w:rsid w:val="00276BC1"/>
    <w:pPr>
      <w:ind w:left="720"/>
      <w:contextualSpacing/>
    </w:pPr>
  </w:style>
  <w:style w:type="character" w:styleId="IntenseEmphasis">
    <w:name w:val="Intense Emphasis"/>
    <w:basedOn w:val="DefaultParagraphFont"/>
    <w:uiPriority w:val="21"/>
    <w:qFormat/>
    <w:rsid w:val="00276BC1"/>
    <w:rPr>
      <w:i/>
      <w:iCs/>
      <w:color w:val="0F4761" w:themeColor="accent1" w:themeShade="BF"/>
    </w:rPr>
  </w:style>
  <w:style w:type="paragraph" w:styleId="IntenseQuote">
    <w:name w:val="Intense Quote"/>
    <w:basedOn w:val="Normal"/>
    <w:next w:val="Normal"/>
    <w:link w:val="IntenseQuoteChar"/>
    <w:uiPriority w:val="30"/>
    <w:qFormat/>
    <w:rsid w:val="00276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BC1"/>
    <w:rPr>
      <w:i/>
      <w:iCs/>
      <w:color w:val="0F4761" w:themeColor="accent1" w:themeShade="BF"/>
    </w:rPr>
  </w:style>
  <w:style w:type="character" w:styleId="IntenseReference">
    <w:name w:val="Intense Reference"/>
    <w:basedOn w:val="DefaultParagraphFont"/>
    <w:uiPriority w:val="32"/>
    <w:qFormat/>
    <w:rsid w:val="00276BC1"/>
    <w:rPr>
      <w:b/>
      <w:bCs/>
      <w:smallCaps/>
      <w:color w:val="0F4761" w:themeColor="accent1" w:themeShade="BF"/>
      <w:spacing w:val="5"/>
    </w:rPr>
  </w:style>
  <w:style w:type="paragraph" w:styleId="NormalWeb">
    <w:name w:val="Normal (Web)"/>
    <w:basedOn w:val="Normal"/>
    <w:uiPriority w:val="99"/>
    <w:semiHidden/>
    <w:unhideWhenUsed/>
    <w:rsid w:val="0027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Trbonja-Omanić</dc:creator>
  <cp:keywords/>
  <dc:description/>
  <cp:lastModifiedBy>Anisa Trbonja-Omanić</cp:lastModifiedBy>
  <cp:revision>2</cp:revision>
  <dcterms:created xsi:type="dcterms:W3CDTF">2025-12-08T13:38:00Z</dcterms:created>
  <dcterms:modified xsi:type="dcterms:W3CDTF">2025-12-08T13:54:00Z</dcterms:modified>
</cp:coreProperties>
</file>