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8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313"/>
        <w:gridCol w:w="3761"/>
        <w:gridCol w:w="3213"/>
      </w:tblGrid>
      <w:tr w:rsidR="006A7026" w:rsidRPr="00276511" w14:paraId="1C46D663" w14:textId="77777777" w:rsidTr="00EA4FBC">
        <w:trPr>
          <w:trHeight w:val="524"/>
        </w:trPr>
        <w:tc>
          <w:tcPr>
            <w:tcW w:w="10287" w:type="dxa"/>
            <w:gridSpan w:val="3"/>
            <w:tcBorders>
              <w:top w:val="double" w:sz="4" w:space="0" w:color="auto"/>
              <w:bottom w:val="double" w:sz="4" w:space="0" w:color="auto"/>
            </w:tcBorders>
            <w:shd w:val="clear" w:color="auto" w:fill="CCCCCC"/>
            <w:vAlign w:val="center"/>
          </w:tcPr>
          <w:p w14:paraId="4A090F7B" w14:textId="77777777" w:rsidR="006A7026" w:rsidRDefault="006A7026" w:rsidP="00EA4FBC">
            <w:pPr>
              <w:jc w:val="center"/>
              <w:rPr>
                <w:b/>
                <w:spacing w:val="-3"/>
              </w:rPr>
            </w:pPr>
            <w:r>
              <w:rPr>
                <w:b/>
                <w:spacing w:val="-3"/>
              </w:rPr>
              <w:t xml:space="preserve">Dzemal Bijedic University of Mostar </w:t>
            </w:r>
          </w:p>
          <w:p w14:paraId="58A3BAEC" w14:textId="77777777" w:rsidR="006A7026" w:rsidRPr="00276511" w:rsidRDefault="006A7026" w:rsidP="00EA4FBC">
            <w:pPr>
              <w:jc w:val="center"/>
              <w:rPr>
                <w:b/>
                <w:spacing w:val="-3"/>
              </w:rPr>
            </w:pPr>
            <w:r>
              <w:rPr>
                <w:b/>
                <w:spacing w:val="-3"/>
              </w:rPr>
              <w:t>Pharmacy</w:t>
            </w:r>
          </w:p>
        </w:tc>
      </w:tr>
      <w:tr w:rsidR="006A7026" w:rsidRPr="0027558B" w14:paraId="6288E0CE" w14:textId="77777777" w:rsidTr="00EA4FBC">
        <w:trPr>
          <w:trHeight w:val="436"/>
        </w:trPr>
        <w:tc>
          <w:tcPr>
            <w:tcW w:w="3313" w:type="dxa"/>
            <w:tcBorders>
              <w:top w:val="double" w:sz="4" w:space="0" w:color="auto"/>
              <w:bottom w:val="single" w:sz="4" w:space="0" w:color="auto"/>
              <w:right w:val="double" w:sz="4" w:space="0" w:color="auto"/>
            </w:tcBorders>
            <w:shd w:val="clear" w:color="auto" w:fill="CCCCCC"/>
            <w:vAlign w:val="center"/>
          </w:tcPr>
          <w:p w14:paraId="649B67F5" w14:textId="77777777" w:rsidR="006A7026" w:rsidRPr="00276511" w:rsidRDefault="006A7026" w:rsidP="00EA4FBC">
            <w:pPr>
              <w:jc w:val="center"/>
              <w:rPr>
                <w:b/>
                <w:sz w:val="20"/>
                <w:szCs w:val="20"/>
              </w:rPr>
            </w:pPr>
            <w:r>
              <w:rPr>
                <w:b/>
                <w:sz w:val="20"/>
                <w:szCs w:val="20"/>
              </w:rPr>
              <w:t>Subject title:</w:t>
            </w:r>
          </w:p>
        </w:tc>
        <w:tc>
          <w:tcPr>
            <w:tcW w:w="3761" w:type="dxa"/>
            <w:tcBorders>
              <w:top w:val="double" w:sz="4" w:space="0" w:color="auto"/>
              <w:left w:val="double" w:sz="4" w:space="0" w:color="auto"/>
            </w:tcBorders>
            <w:vAlign w:val="center"/>
          </w:tcPr>
          <w:p w14:paraId="38F01399" w14:textId="124ACE72" w:rsidR="006A7026" w:rsidRPr="00657D56" w:rsidRDefault="006A7026" w:rsidP="00EA4FBC">
            <w:pPr>
              <w:jc w:val="center"/>
              <w:rPr>
                <w:b/>
                <w:lang w:val="pl-PL"/>
              </w:rPr>
            </w:pPr>
            <w:r>
              <w:rPr>
                <w:b/>
                <w:lang w:val="pl-PL"/>
              </w:rPr>
              <w:t>Organic Chemisty I</w:t>
            </w:r>
          </w:p>
        </w:tc>
        <w:tc>
          <w:tcPr>
            <w:tcW w:w="3213" w:type="dxa"/>
            <w:tcBorders>
              <w:top w:val="double" w:sz="4" w:space="0" w:color="auto"/>
            </w:tcBorders>
            <w:vAlign w:val="center"/>
          </w:tcPr>
          <w:p w14:paraId="6D2C9624" w14:textId="77777777" w:rsidR="006A7026" w:rsidRPr="00542C0B" w:rsidRDefault="006A7026" w:rsidP="00EA4FBC">
            <w:pPr>
              <w:pStyle w:val="Heading1"/>
              <w:jc w:val="center"/>
              <w:rPr>
                <w:b/>
                <w:sz w:val="20"/>
                <w:szCs w:val="20"/>
              </w:rPr>
            </w:pPr>
          </w:p>
        </w:tc>
      </w:tr>
      <w:tr w:rsidR="006A7026" w:rsidRPr="0027558B" w14:paraId="1E64B1B6"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3825373F" w14:textId="77777777" w:rsidR="006A7026" w:rsidRPr="00276511" w:rsidRDefault="006A7026" w:rsidP="00EA4FBC">
            <w:pPr>
              <w:jc w:val="center"/>
              <w:rPr>
                <w:b/>
                <w:sz w:val="20"/>
                <w:szCs w:val="20"/>
              </w:rPr>
            </w:pPr>
            <w:r w:rsidRPr="00F63654">
              <w:rPr>
                <w:b/>
                <w:sz w:val="20"/>
                <w:szCs w:val="20"/>
              </w:rPr>
              <w:t>Cycle level, years of study, semester</w:t>
            </w:r>
          </w:p>
        </w:tc>
        <w:tc>
          <w:tcPr>
            <w:tcW w:w="3761" w:type="dxa"/>
            <w:tcBorders>
              <w:left w:val="double" w:sz="4" w:space="0" w:color="auto"/>
            </w:tcBorders>
            <w:vAlign w:val="center"/>
          </w:tcPr>
          <w:p w14:paraId="06C541C2" w14:textId="77777777" w:rsidR="006A7026" w:rsidRPr="00542C0B" w:rsidRDefault="006A7026" w:rsidP="00EA4FBC">
            <w:pPr>
              <w:jc w:val="center"/>
              <w:rPr>
                <w:sz w:val="20"/>
                <w:szCs w:val="20"/>
              </w:rPr>
            </w:pPr>
            <w:r>
              <w:rPr>
                <w:sz w:val="20"/>
                <w:szCs w:val="20"/>
              </w:rPr>
              <w:t>Integrated academic study</w:t>
            </w:r>
          </w:p>
        </w:tc>
        <w:tc>
          <w:tcPr>
            <w:tcW w:w="3213" w:type="dxa"/>
            <w:vAlign w:val="center"/>
          </w:tcPr>
          <w:p w14:paraId="58786918" w14:textId="77777777" w:rsidR="006A7026" w:rsidRPr="00542C0B" w:rsidRDefault="006A7026" w:rsidP="00EA4FBC">
            <w:pPr>
              <w:jc w:val="center"/>
              <w:rPr>
                <w:sz w:val="20"/>
                <w:szCs w:val="20"/>
              </w:rPr>
            </w:pPr>
            <w:r>
              <w:rPr>
                <w:sz w:val="20"/>
                <w:szCs w:val="20"/>
              </w:rPr>
              <w:t>I Year/Semester II</w:t>
            </w:r>
          </w:p>
        </w:tc>
      </w:tr>
      <w:tr w:rsidR="006A7026" w:rsidRPr="0027558B" w14:paraId="22724029"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18024D7D" w14:textId="77777777" w:rsidR="006A7026" w:rsidRPr="00276511" w:rsidRDefault="006A7026" w:rsidP="00EA4FBC">
            <w:pPr>
              <w:jc w:val="center"/>
              <w:rPr>
                <w:b/>
                <w:sz w:val="20"/>
                <w:szCs w:val="20"/>
              </w:rPr>
            </w:pPr>
            <w:r>
              <w:rPr>
                <w:b/>
                <w:sz w:val="20"/>
                <w:szCs w:val="20"/>
              </w:rPr>
              <w:t>L</w:t>
            </w:r>
            <w:r w:rsidRPr="00001346">
              <w:rPr>
                <w:b/>
                <w:sz w:val="20"/>
                <w:szCs w:val="20"/>
              </w:rPr>
              <w:t>ecturer on the subject</w:t>
            </w:r>
            <w:r w:rsidRPr="00276511">
              <w:rPr>
                <w:b/>
                <w:sz w:val="20"/>
                <w:szCs w:val="20"/>
              </w:rPr>
              <w:t>:</w:t>
            </w:r>
          </w:p>
        </w:tc>
        <w:tc>
          <w:tcPr>
            <w:tcW w:w="6974" w:type="dxa"/>
            <w:gridSpan w:val="2"/>
            <w:tcBorders>
              <w:left w:val="double" w:sz="4" w:space="0" w:color="auto"/>
            </w:tcBorders>
            <w:vAlign w:val="center"/>
          </w:tcPr>
          <w:p w14:paraId="2B637AFF" w14:textId="70794806" w:rsidR="006A7026" w:rsidRPr="003C57FB" w:rsidRDefault="006A7026" w:rsidP="00EA4FBC">
            <w:pPr>
              <w:jc w:val="center"/>
              <w:rPr>
                <w:sz w:val="20"/>
                <w:szCs w:val="20"/>
              </w:rPr>
            </w:pPr>
            <w:r>
              <w:rPr>
                <w:sz w:val="20"/>
                <w:szCs w:val="20"/>
              </w:rPr>
              <w:t>dr.sc.</w:t>
            </w:r>
            <w:r>
              <w:rPr>
                <w:sz w:val="20"/>
                <w:szCs w:val="20"/>
              </w:rPr>
              <w:t>Denis Bobar</w:t>
            </w:r>
            <w:r>
              <w:rPr>
                <w:sz w:val="20"/>
                <w:szCs w:val="20"/>
              </w:rPr>
              <w:t>, ass</w:t>
            </w:r>
            <w:r>
              <w:rPr>
                <w:sz w:val="20"/>
                <w:szCs w:val="20"/>
              </w:rPr>
              <w:t>istant</w:t>
            </w:r>
            <w:r>
              <w:rPr>
                <w:sz w:val="20"/>
                <w:szCs w:val="20"/>
              </w:rPr>
              <w:t xml:space="preserve"> professor</w:t>
            </w:r>
          </w:p>
        </w:tc>
      </w:tr>
      <w:tr w:rsidR="006A7026" w:rsidRPr="0027558B" w14:paraId="5B5EFB1D"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14142F3A" w14:textId="77777777" w:rsidR="006A7026" w:rsidRPr="00276511" w:rsidRDefault="006A7026" w:rsidP="00EA4FBC">
            <w:pPr>
              <w:jc w:val="center"/>
              <w:rPr>
                <w:b/>
                <w:sz w:val="20"/>
                <w:szCs w:val="20"/>
              </w:rPr>
            </w:pPr>
            <w:r w:rsidRPr="00F63654">
              <w:rPr>
                <w:b/>
                <w:sz w:val="20"/>
                <w:szCs w:val="20"/>
              </w:rPr>
              <w:t>Contact details:</w:t>
            </w:r>
          </w:p>
        </w:tc>
        <w:tc>
          <w:tcPr>
            <w:tcW w:w="6974" w:type="dxa"/>
            <w:gridSpan w:val="2"/>
            <w:tcBorders>
              <w:left w:val="double" w:sz="4" w:space="0" w:color="auto"/>
            </w:tcBorders>
            <w:vAlign w:val="center"/>
          </w:tcPr>
          <w:p w14:paraId="65647EBD" w14:textId="49877B57" w:rsidR="006A7026" w:rsidRPr="003C57FB" w:rsidRDefault="006A7026" w:rsidP="00EA4FBC">
            <w:pPr>
              <w:jc w:val="center"/>
              <w:rPr>
                <w:spacing w:val="-3"/>
                <w:sz w:val="20"/>
                <w:szCs w:val="20"/>
              </w:rPr>
            </w:pPr>
            <w:r>
              <w:rPr>
                <w:spacing w:val="-3"/>
                <w:sz w:val="20"/>
                <w:szCs w:val="20"/>
              </w:rPr>
              <w:t>denis.bobar</w:t>
            </w:r>
            <w:r>
              <w:rPr>
                <w:spacing w:val="-3"/>
                <w:sz w:val="20"/>
                <w:szCs w:val="20"/>
              </w:rPr>
              <w:t>@unmo.ba</w:t>
            </w:r>
          </w:p>
        </w:tc>
      </w:tr>
      <w:tr w:rsidR="006A7026" w:rsidRPr="0027558B" w14:paraId="2743FF6C"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65D47B4C" w14:textId="77777777" w:rsidR="006A7026" w:rsidRPr="00276511" w:rsidRDefault="006A7026" w:rsidP="00EA4FBC">
            <w:pPr>
              <w:jc w:val="center"/>
              <w:rPr>
                <w:b/>
                <w:sz w:val="20"/>
                <w:szCs w:val="20"/>
              </w:rPr>
            </w:pPr>
            <w:r w:rsidRPr="00F63654">
              <w:rPr>
                <w:b/>
                <w:sz w:val="20"/>
                <w:szCs w:val="20"/>
              </w:rPr>
              <w:t>Total number of subject hours:</w:t>
            </w:r>
          </w:p>
        </w:tc>
        <w:tc>
          <w:tcPr>
            <w:tcW w:w="6974" w:type="dxa"/>
            <w:gridSpan w:val="2"/>
            <w:tcBorders>
              <w:left w:val="double" w:sz="4" w:space="0" w:color="auto"/>
            </w:tcBorders>
            <w:vAlign w:val="center"/>
          </w:tcPr>
          <w:p w14:paraId="238B04CD" w14:textId="7366BFA4" w:rsidR="006A7026" w:rsidRPr="003C57FB" w:rsidRDefault="006A7026" w:rsidP="00EA4FBC">
            <w:pPr>
              <w:jc w:val="center"/>
              <w:rPr>
                <w:sz w:val="20"/>
                <w:szCs w:val="20"/>
              </w:rPr>
            </w:pPr>
            <w:r>
              <w:rPr>
                <w:sz w:val="20"/>
                <w:szCs w:val="20"/>
              </w:rPr>
              <w:t>3</w:t>
            </w:r>
            <w:r>
              <w:rPr>
                <w:sz w:val="20"/>
                <w:szCs w:val="20"/>
              </w:rPr>
              <w:t xml:space="preserve"> h per Week/ </w:t>
            </w:r>
            <w:r>
              <w:rPr>
                <w:sz w:val="20"/>
                <w:szCs w:val="20"/>
              </w:rPr>
              <w:t>4</w:t>
            </w:r>
            <w:r>
              <w:rPr>
                <w:sz w:val="20"/>
                <w:szCs w:val="20"/>
              </w:rPr>
              <w:t>5 hours of lectures per semester</w:t>
            </w:r>
          </w:p>
        </w:tc>
      </w:tr>
      <w:tr w:rsidR="006A7026" w:rsidRPr="0027558B" w14:paraId="03F30896"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76AA88A1" w14:textId="77777777" w:rsidR="006A7026" w:rsidRPr="00276511" w:rsidRDefault="006A7026" w:rsidP="00EA4FBC">
            <w:pPr>
              <w:jc w:val="center"/>
              <w:rPr>
                <w:b/>
                <w:sz w:val="20"/>
                <w:szCs w:val="20"/>
              </w:rPr>
            </w:pPr>
            <w:r>
              <w:rPr>
                <w:b/>
                <w:sz w:val="20"/>
                <w:szCs w:val="20"/>
              </w:rPr>
              <w:t>Credit value</w:t>
            </w:r>
            <w:r w:rsidRPr="00276511">
              <w:rPr>
                <w:b/>
                <w:sz w:val="20"/>
                <w:szCs w:val="20"/>
              </w:rPr>
              <w:t xml:space="preserve"> ECTS-a:</w:t>
            </w:r>
          </w:p>
        </w:tc>
        <w:tc>
          <w:tcPr>
            <w:tcW w:w="6974" w:type="dxa"/>
            <w:gridSpan w:val="2"/>
            <w:tcBorders>
              <w:left w:val="double" w:sz="4" w:space="0" w:color="auto"/>
            </w:tcBorders>
            <w:vAlign w:val="center"/>
          </w:tcPr>
          <w:p w14:paraId="074883C0" w14:textId="505D7CFC" w:rsidR="006A7026" w:rsidRPr="003C57FB" w:rsidRDefault="006A7026" w:rsidP="00EA4FBC">
            <w:pPr>
              <w:jc w:val="center"/>
              <w:rPr>
                <w:sz w:val="20"/>
                <w:szCs w:val="20"/>
              </w:rPr>
            </w:pPr>
            <w:r>
              <w:rPr>
                <w:sz w:val="20"/>
                <w:szCs w:val="20"/>
              </w:rPr>
              <w:t>7</w:t>
            </w:r>
            <w:r>
              <w:rPr>
                <w:sz w:val="20"/>
                <w:szCs w:val="20"/>
              </w:rPr>
              <w:t xml:space="preserve"> ECTS</w:t>
            </w:r>
          </w:p>
        </w:tc>
      </w:tr>
      <w:tr w:rsidR="006A7026" w:rsidRPr="0027558B" w14:paraId="15FFE80E"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1D9D1FF0" w14:textId="77777777" w:rsidR="006A7026" w:rsidRPr="00276511" w:rsidRDefault="006A7026" w:rsidP="00EA4FBC">
            <w:pPr>
              <w:jc w:val="center"/>
              <w:rPr>
                <w:b/>
                <w:sz w:val="20"/>
                <w:szCs w:val="20"/>
              </w:rPr>
            </w:pPr>
            <w:r>
              <w:rPr>
                <w:b/>
                <w:sz w:val="20"/>
                <w:szCs w:val="20"/>
              </w:rPr>
              <w:t>Basic</w:t>
            </w:r>
            <w:r w:rsidRPr="00F63654">
              <w:rPr>
                <w:b/>
                <w:sz w:val="20"/>
                <w:szCs w:val="20"/>
              </w:rPr>
              <w:t xml:space="preserve"> Qualification</w:t>
            </w:r>
            <w:r>
              <w:rPr>
                <w:b/>
                <w:sz w:val="20"/>
                <w:szCs w:val="20"/>
              </w:rPr>
              <w:t>:</w:t>
            </w:r>
          </w:p>
        </w:tc>
        <w:tc>
          <w:tcPr>
            <w:tcW w:w="6974" w:type="dxa"/>
            <w:gridSpan w:val="2"/>
            <w:tcBorders>
              <w:left w:val="double" w:sz="4" w:space="0" w:color="auto"/>
            </w:tcBorders>
            <w:vAlign w:val="center"/>
          </w:tcPr>
          <w:p w14:paraId="2FDEEB91" w14:textId="77777777" w:rsidR="006A7026" w:rsidRPr="003C57FB" w:rsidRDefault="006A7026" w:rsidP="00EA4FBC">
            <w:pPr>
              <w:rPr>
                <w:sz w:val="20"/>
                <w:szCs w:val="20"/>
              </w:rPr>
            </w:pPr>
          </w:p>
        </w:tc>
      </w:tr>
      <w:tr w:rsidR="006A7026" w:rsidRPr="0027558B" w14:paraId="279C2E28"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1576146A" w14:textId="77777777" w:rsidR="006A7026" w:rsidRPr="00276511" w:rsidRDefault="006A7026" w:rsidP="00EA4FBC">
            <w:pPr>
              <w:jc w:val="center"/>
              <w:rPr>
                <w:b/>
                <w:sz w:val="20"/>
                <w:szCs w:val="20"/>
              </w:rPr>
            </w:pPr>
            <w:r>
              <w:rPr>
                <w:b/>
                <w:sz w:val="20"/>
                <w:szCs w:val="20"/>
              </w:rPr>
              <w:t>Subject s</w:t>
            </w:r>
            <w:r w:rsidRPr="00276511">
              <w:rPr>
                <w:b/>
                <w:sz w:val="20"/>
                <w:szCs w:val="20"/>
              </w:rPr>
              <w:t>tatus:</w:t>
            </w:r>
          </w:p>
        </w:tc>
        <w:tc>
          <w:tcPr>
            <w:tcW w:w="6974" w:type="dxa"/>
            <w:gridSpan w:val="2"/>
            <w:tcBorders>
              <w:left w:val="double" w:sz="4" w:space="0" w:color="auto"/>
            </w:tcBorders>
            <w:vAlign w:val="center"/>
          </w:tcPr>
          <w:p w14:paraId="6DF9EA3E" w14:textId="77777777" w:rsidR="006A7026" w:rsidRPr="003C57FB" w:rsidRDefault="006A7026" w:rsidP="00EA4FBC">
            <w:pPr>
              <w:jc w:val="center"/>
              <w:rPr>
                <w:sz w:val="20"/>
                <w:szCs w:val="20"/>
              </w:rPr>
            </w:pPr>
            <w:r>
              <w:rPr>
                <w:sz w:val="20"/>
                <w:szCs w:val="20"/>
              </w:rPr>
              <w:t>Obligatory</w:t>
            </w:r>
          </w:p>
        </w:tc>
      </w:tr>
      <w:tr w:rsidR="006A7026" w:rsidRPr="0027558B" w14:paraId="5A20A265"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2DA38215" w14:textId="77777777" w:rsidR="006A7026" w:rsidRPr="00276511" w:rsidRDefault="006A7026" w:rsidP="00EA4FBC">
            <w:pPr>
              <w:jc w:val="center"/>
              <w:rPr>
                <w:b/>
                <w:sz w:val="20"/>
                <w:szCs w:val="20"/>
              </w:rPr>
            </w:pPr>
            <w:r w:rsidRPr="00DA0034">
              <w:rPr>
                <w:b/>
                <w:sz w:val="20"/>
                <w:szCs w:val="20"/>
              </w:rPr>
              <w:t>Preliminary Examination Obligations</w:t>
            </w:r>
          </w:p>
        </w:tc>
        <w:tc>
          <w:tcPr>
            <w:tcW w:w="6974" w:type="dxa"/>
            <w:gridSpan w:val="2"/>
            <w:tcBorders>
              <w:left w:val="double" w:sz="4" w:space="0" w:color="auto"/>
            </w:tcBorders>
            <w:vAlign w:val="center"/>
          </w:tcPr>
          <w:p w14:paraId="74C23964" w14:textId="77777777" w:rsidR="006A7026" w:rsidRPr="003C57FB" w:rsidRDefault="006A7026" w:rsidP="00EA4FBC">
            <w:pPr>
              <w:jc w:val="center"/>
              <w:rPr>
                <w:sz w:val="20"/>
                <w:szCs w:val="20"/>
              </w:rPr>
            </w:pPr>
          </w:p>
        </w:tc>
      </w:tr>
      <w:tr w:rsidR="006A7026" w:rsidRPr="0027558B" w14:paraId="2AAA1431"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3102DA47" w14:textId="77777777" w:rsidR="006A7026" w:rsidRPr="00276511" w:rsidRDefault="006A7026" w:rsidP="00EA4FBC">
            <w:pPr>
              <w:jc w:val="center"/>
              <w:rPr>
                <w:b/>
                <w:sz w:val="20"/>
                <w:szCs w:val="20"/>
              </w:rPr>
            </w:pPr>
            <w:r w:rsidRPr="00DA0034">
              <w:rPr>
                <w:b/>
                <w:sz w:val="20"/>
                <w:szCs w:val="20"/>
              </w:rPr>
              <w:t>Access limitations on the subject:</w:t>
            </w:r>
          </w:p>
        </w:tc>
        <w:tc>
          <w:tcPr>
            <w:tcW w:w="6974" w:type="dxa"/>
            <w:gridSpan w:val="2"/>
            <w:tcBorders>
              <w:left w:val="double" w:sz="4" w:space="0" w:color="auto"/>
            </w:tcBorders>
            <w:vAlign w:val="center"/>
          </w:tcPr>
          <w:p w14:paraId="557CAA9C" w14:textId="77777777" w:rsidR="006A7026" w:rsidRPr="003C57FB" w:rsidRDefault="006A7026" w:rsidP="00EA4FBC">
            <w:pPr>
              <w:jc w:val="center"/>
              <w:rPr>
                <w:sz w:val="20"/>
                <w:szCs w:val="20"/>
              </w:rPr>
            </w:pPr>
          </w:p>
        </w:tc>
      </w:tr>
      <w:tr w:rsidR="006A7026" w:rsidRPr="0027558B" w14:paraId="4EF1823B"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59D55665" w14:textId="77777777" w:rsidR="006A7026" w:rsidRPr="00276511" w:rsidRDefault="006A7026" w:rsidP="00EA4FBC">
            <w:pPr>
              <w:jc w:val="center"/>
              <w:rPr>
                <w:b/>
                <w:sz w:val="20"/>
                <w:szCs w:val="20"/>
              </w:rPr>
            </w:pPr>
            <w:r>
              <w:rPr>
                <w:b/>
                <w:sz w:val="20"/>
                <w:szCs w:val="20"/>
              </w:rPr>
              <w:t>E</w:t>
            </w:r>
            <w:r w:rsidRPr="00DA0034">
              <w:rPr>
                <w:b/>
                <w:sz w:val="20"/>
                <w:szCs w:val="20"/>
              </w:rPr>
              <w:t>xplanation</w:t>
            </w:r>
            <w:r>
              <w:rPr>
                <w:b/>
                <w:sz w:val="20"/>
                <w:szCs w:val="20"/>
              </w:rPr>
              <w:t xml:space="preserve"> of ECTS value:</w:t>
            </w:r>
          </w:p>
        </w:tc>
        <w:tc>
          <w:tcPr>
            <w:tcW w:w="6974" w:type="dxa"/>
            <w:gridSpan w:val="2"/>
            <w:tcBorders>
              <w:left w:val="double" w:sz="4" w:space="0" w:color="auto"/>
            </w:tcBorders>
            <w:vAlign w:val="center"/>
          </w:tcPr>
          <w:p w14:paraId="68603C2D" w14:textId="77777777" w:rsidR="006A7026" w:rsidRPr="00276511" w:rsidRDefault="006A7026" w:rsidP="00EA4FBC">
            <w:pPr>
              <w:jc w:val="center"/>
              <w:rPr>
                <w:sz w:val="20"/>
                <w:szCs w:val="20"/>
              </w:rPr>
            </w:pPr>
            <w:r>
              <w:rPr>
                <w:sz w:val="20"/>
                <w:szCs w:val="20"/>
              </w:rPr>
              <w:t>The number of ECTS</w:t>
            </w:r>
            <w:r w:rsidRPr="00C761D7">
              <w:rPr>
                <w:sz w:val="20"/>
                <w:szCs w:val="20"/>
              </w:rPr>
              <w:t xml:space="preserve"> points corresponds to the number of hours required for the realization of teaching duties and exam preparation</w:t>
            </w:r>
          </w:p>
        </w:tc>
      </w:tr>
      <w:tr w:rsidR="006A7026" w:rsidRPr="003526D2" w14:paraId="754351D8"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221E0340" w14:textId="77777777" w:rsidR="006A7026" w:rsidRPr="00DA0034" w:rsidRDefault="006A7026" w:rsidP="00EA4FBC">
            <w:pPr>
              <w:jc w:val="center"/>
              <w:rPr>
                <w:b/>
                <w:sz w:val="20"/>
                <w:szCs w:val="20"/>
              </w:rPr>
            </w:pPr>
            <w:r>
              <w:rPr>
                <w:b/>
                <w:sz w:val="20"/>
                <w:szCs w:val="20"/>
              </w:rPr>
              <w:t>Subject</w:t>
            </w:r>
            <w:r w:rsidRPr="00DA0034">
              <w:rPr>
                <w:b/>
                <w:sz w:val="20"/>
                <w:szCs w:val="20"/>
              </w:rPr>
              <w:t xml:space="preserve"> goal:</w:t>
            </w:r>
          </w:p>
        </w:tc>
        <w:tc>
          <w:tcPr>
            <w:tcW w:w="6974" w:type="dxa"/>
            <w:gridSpan w:val="2"/>
            <w:tcBorders>
              <w:left w:val="double" w:sz="4" w:space="0" w:color="auto"/>
            </w:tcBorders>
          </w:tcPr>
          <w:p w14:paraId="746F84B7" w14:textId="25547CE7" w:rsidR="006A7026" w:rsidRPr="00AD5D0E" w:rsidRDefault="006A7026" w:rsidP="00EA4FBC">
            <w:pPr>
              <w:autoSpaceDE w:val="0"/>
              <w:autoSpaceDN w:val="0"/>
              <w:adjustRightInd w:val="0"/>
              <w:jc w:val="both"/>
              <w:rPr>
                <w:rFonts w:ascii="TimesNewRomanPSMT" w:hAnsi="TimesNewRomanPSMT" w:cs="TimesNewRomanPSMT"/>
                <w:sz w:val="20"/>
                <w:szCs w:val="20"/>
                <w:lang w:eastAsia="bs-Latn-BA"/>
              </w:rPr>
            </w:pPr>
            <w:r w:rsidRPr="006A7026">
              <w:rPr>
                <w:rFonts w:ascii="TimesNewRomanPSMT" w:hAnsi="TimesNewRomanPSMT" w:cs="TimesNewRomanPSMT"/>
                <w:sz w:val="20"/>
                <w:szCs w:val="20"/>
                <w:lang w:eastAsia="bs-Latn-BA"/>
              </w:rPr>
              <w:t>Acquiring basic knowledge of modern organic chemistry, understanding the structure and properties of organic compounds, the nomenclature of organic compounds, types of isomers, spectroscopic techniques for determining organic structures, and understanding the mechanisms of organic reactions such as addition, substitution, elimination, and rearrangement.</w:t>
            </w:r>
          </w:p>
        </w:tc>
      </w:tr>
      <w:tr w:rsidR="006A7026" w:rsidRPr="0027558B" w14:paraId="5575EAAC"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32A7C4EE" w14:textId="77777777" w:rsidR="006A7026" w:rsidRPr="00AB4219" w:rsidRDefault="006A7026" w:rsidP="00EA4FBC">
            <w:pPr>
              <w:jc w:val="center"/>
              <w:rPr>
                <w:b/>
                <w:sz w:val="20"/>
                <w:szCs w:val="20"/>
                <w:highlight w:val="yellow"/>
              </w:rPr>
            </w:pPr>
            <w:r w:rsidRPr="00DA0034">
              <w:rPr>
                <w:b/>
                <w:sz w:val="20"/>
                <w:szCs w:val="20"/>
              </w:rPr>
              <w:t>Description of general and specific competences (knowledge and skills) / learning outcomes</w:t>
            </w:r>
          </w:p>
        </w:tc>
        <w:tc>
          <w:tcPr>
            <w:tcW w:w="6974" w:type="dxa"/>
            <w:gridSpan w:val="2"/>
            <w:tcBorders>
              <w:left w:val="double" w:sz="4" w:space="0" w:color="auto"/>
            </w:tcBorders>
            <w:vAlign w:val="center"/>
          </w:tcPr>
          <w:p w14:paraId="4B40E0C6" w14:textId="60EB4F16" w:rsidR="006A7026" w:rsidRPr="006A7026" w:rsidRDefault="006A7026" w:rsidP="006A7026">
            <w:pPr>
              <w:autoSpaceDE w:val="0"/>
              <w:autoSpaceDN w:val="0"/>
              <w:adjustRightInd w:val="0"/>
              <w:jc w:val="both"/>
              <w:rPr>
                <w:sz w:val="20"/>
                <w:szCs w:val="20"/>
                <w:lang w:val="en-US" w:eastAsia="bs-Latn-BA"/>
              </w:rPr>
            </w:pPr>
            <w:r w:rsidRPr="006A7026">
              <w:rPr>
                <w:sz w:val="20"/>
                <w:szCs w:val="20"/>
                <w:lang w:val="en-US" w:eastAsia="bs-Latn-BA"/>
              </w:rPr>
              <w:t>Upon completion of the course, students will be able to:</w:t>
            </w:r>
          </w:p>
          <w:p w14:paraId="65E3DA24" w14:textId="3C2F99D5" w:rsidR="006A7026" w:rsidRPr="006A7026" w:rsidRDefault="006A7026" w:rsidP="006A7026">
            <w:pPr>
              <w:pStyle w:val="ListParagraph"/>
              <w:numPr>
                <w:ilvl w:val="0"/>
                <w:numId w:val="3"/>
              </w:numPr>
              <w:autoSpaceDE w:val="0"/>
              <w:autoSpaceDN w:val="0"/>
              <w:adjustRightInd w:val="0"/>
              <w:jc w:val="both"/>
              <w:rPr>
                <w:sz w:val="20"/>
                <w:szCs w:val="20"/>
                <w:lang w:val="en-US" w:eastAsia="bs-Latn-BA"/>
              </w:rPr>
            </w:pPr>
            <w:r w:rsidRPr="006A7026">
              <w:rPr>
                <w:sz w:val="20"/>
                <w:szCs w:val="20"/>
                <w:lang w:val="en-US" w:eastAsia="bs-Latn-BA"/>
              </w:rPr>
              <w:t>Describe the basic concepts, nomenclature of organic compounds, stereochemistry, and typical organic reactions such as addition, elimination, substitution, and rearrangement.</w:t>
            </w:r>
          </w:p>
          <w:p w14:paraId="0577C68E" w14:textId="7F09193D" w:rsidR="006A7026" w:rsidRPr="006A7026" w:rsidRDefault="006A7026" w:rsidP="006A7026">
            <w:pPr>
              <w:pStyle w:val="ListParagraph"/>
              <w:numPr>
                <w:ilvl w:val="0"/>
                <w:numId w:val="3"/>
              </w:numPr>
              <w:autoSpaceDE w:val="0"/>
              <w:autoSpaceDN w:val="0"/>
              <w:adjustRightInd w:val="0"/>
              <w:jc w:val="both"/>
              <w:rPr>
                <w:sz w:val="20"/>
                <w:szCs w:val="20"/>
                <w:lang w:val="en-US" w:eastAsia="bs-Latn-BA"/>
              </w:rPr>
            </w:pPr>
            <w:r w:rsidRPr="006A7026">
              <w:rPr>
                <w:sz w:val="20"/>
                <w:szCs w:val="20"/>
                <w:lang w:val="en-US" w:eastAsia="bs-Latn-BA"/>
              </w:rPr>
              <w:t>Illustrate the application of nomenclature, isomerism, stereochemistry, and mechanisms of organic reactions (ionic and radical types).</w:t>
            </w:r>
          </w:p>
          <w:p w14:paraId="71BFB50E" w14:textId="2D16DBF4" w:rsidR="006A7026" w:rsidRPr="006A7026" w:rsidRDefault="006A7026" w:rsidP="006A7026">
            <w:pPr>
              <w:pStyle w:val="ListParagraph"/>
              <w:numPr>
                <w:ilvl w:val="0"/>
                <w:numId w:val="3"/>
              </w:numPr>
              <w:autoSpaceDE w:val="0"/>
              <w:autoSpaceDN w:val="0"/>
              <w:adjustRightInd w:val="0"/>
              <w:jc w:val="both"/>
              <w:rPr>
                <w:sz w:val="20"/>
                <w:szCs w:val="20"/>
                <w:lang w:val="en-US" w:eastAsia="bs-Latn-BA"/>
              </w:rPr>
            </w:pPr>
            <w:r w:rsidRPr="006A7026">
              <w:rPr>
                <w:sz w:val="20"/>
                <w:szCs w:val="20"/>
                <w:lang w:val="en-US" w:eastAsia="bs-Latn-BA"/>
              </w:rPr>
              <w:t>Demonstrate basic procedures in the organic chemistry laboratory, simple methods of preparing organic compounds, and determining functional groups.</w:t>
            </w:r>
          </w:p>
          <w:p w14:paraId="0CFAC277" w14:textId="359DFD99" w:rsidR="006A7026" w:rsidRPr="006A7026" w:rsidRDefault="006A7026" w:rsidP="006A7026">
            <w:pPr>
              <w:pStyle w:val="ListParagraph"/>
              <w:numPr>
                <w:ilvl w:val="0"/>
                <w:numId w:val="3"/>
              </w:numPr>
              <w:autoSpaceDE w:val="0"/>
              <w:autoSpaceDN w:val="0"/>
              <w:adjustRightInd w:val="0"/>
              <w:jc w:val="both"/>
              <w:rPr>
                <w:sz w:val="20"/>
                <w:szCs w:val="20"/>
                <w:lang w:val="en-US" w:eastAsia="bs-Latn-BA"/>
              </w:rPr>
            </w:pPr>
            <w:r w:rsidRPr="006A7026">
              <w:rPr>
                <w:sz w:val="20"/>
                <w:szCs w:val="20"/>
                <w:lang w:val="en-US" w:eastAsia="bs-Latn-BA"/>
              </w:rPr>
              <w:t>Determine the structures of simpler organic compounds using spectroscopic methods.</w:t>
            </w:r>
          </w:p>
          <w:p w14:paraId="0F043A7D" w14:textId="13AA10F3" w:rsidR="006A7026" w:rsidRPr="006A7026" w:rsidRDefault="006A7026" w:rsidP="006A7026">
            <w:pPr>
              <w:pStyle w:val="ListParagraph"/>
              <w:numPr>
                <w:ilvl w:val="0"/>
                <w:numId w:val="3"/>
              </w:numPr>
              <w:autoSpaceDE w:val="0"/>
              <w:autoSpaceDN w:val="0"/>
              <w:adjustRightInd w:val="0"/>
              <w:jc w:val="both"/>
              <w:rPr>
                <w:sz w:val="20"/>
                <w:szCs w:val="20"/>
                <w:lang w:val="en-US" w:eastAsia="bs-Latn-BA"/>
              </w:rPr>
            </w:pPr>
            <w:r w:rsidRPr="006A7026">
              <w:rPr>
                <w:sz w:val="20"/>
                <w:szCs w:val="20"/>
                <w:lang w:val="en-US" w:eastAsia="bs-Latn-BA"/>
              </w:rPr>
              <w:t>Propose reaction mechanisms for nucleophilic substitution and elimination at saturated carbon, addition at unsaturated carbon, and electrophilic aromatic substitution, considering regioselectivity/specificity and stereoselectivity/specificity.</w:t>
            </w:r>
          </w:p>
          <w:p w14:paraId="3A9DDEB7" w14:textId="30447DAA" w:rsidR="006A7026" w:rsidRPr="00961156" w:rsidRDefault="006A7026" w:rsidP="006A7026">
            <w:pPr>
              <w:pStyle w:val="ListParagraph"/>
              <w:numPr>
                <w:ilvl w:val="0"/>
                <w:numId w:val="3"/>
              </w:numPr>
              <w:autoSpaceDE w:val="0"/>
              <w:autoSpaceDN w:val="0"/>
              <w:adjustRightInd w:val="0"/>
              <w:jc w:val="both"/>
              <w:rPr>
                <w:sz w:val="20"/>
                <w:szCs w:val="20"/>
                <w:lang w:val="en-US" w:eastAsia="bs-Latn-BA"/>
              </w:rPr>
            </w:pPr>
            <w:r w:rsidRPr="006A7026">
              <w:rPr>
                <w:sz w:val="20"/>
                <w:szCs w:val="20"/>
                <w:lang w:val="en-US" w:eastAsia="bs-Latn-BA"/>
              </w:rPr>
              <w:t>Select the correct chemical approach to solving problems in organic chemistry, based on knowledge acquired from general, analytical, and physical chemistry.</w:t>
            </w:r>
          </w:p>
        </w:tc>
      </w:tr>
      <w:tr w:rsidR="006A7026" w:rsidRPr="0027558B" w14:paraId="2EBDF8B7"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27B89A4F" w14:textId="77777777" w:rsidR="006A7026" w:rsidRPr="00276511" w:rsidRDefault="006A7026" w:rsidP="00EA4FBC">
            <w:pPr>
              <w:jc w:val="center"/>
              <w:rPr>
                <w:b/>
                <w:sz w:val="20"/>
                <w:szCs w:val="20"/>
              </w:rPr>
            </w:pPr>
            <w:r w:rsidRPr="00DA0034">
              <w:rPr>
                <w:b/>
                <w:sz w:val="20"/>
                <w:szCs w:val="20"/>
              </w:rPr>
              <w:t>Course content:</w:t>
            </w:r>
          </w:p>
        </w:tc>
        <w:tc>
          <w:tcPr>
            <w:tcW w:w="6974" w:type="dxa"/>
            <w:gridSpan w:val="2"/>
            <w:tcBorders>
              <w:left w:val="double" w:sz="4" w:space="0" w:color="auto"/>
            </w:tcBorders>
          </w:tcPr>
          <w:p w14:paraId="66DFCAF4" w14:textId="2AB39FE8" w:rsidR="006A7026" w:rsidRPr="006A7026" w:rsidRDefault="006A7026" w:rsidP="006A7026">
            <w:pPr>
              <w:pStyle w:val="ListParagraph"/>
              <w:numPr>
                <w:ilvl w:val="0"/>
                <w:numId w:val="2"/>
              </w:numPr>
              <w:jc w:val="both"/>
              <w:rPr>
                <w:bCs/>
                <w:iCs/>
                <w:sz w:val="20"/>
                <w:szCs w:val="20"/>
              </w:rPr>
            </w:pPr>
            <w:r w:rsidRPr="006A7026">
              <w:rPr>
                <w:bCs/>
                <w:iCs/>
                <w:sz w:val="20"/>
                <w:szCs w:val="20"/>
              </w:rPr>
              <w:t>Introduction. Brief historical overview. Modern organic chemistry. Bonding of atoms in organic molecules. Electronegativity and types of bonds. Quantum mechanics and atomic orbitals. Electronic configuration. Bond lengths and energies. Hybrid atomic orbitals (sp³, sp², and sp). Molecular orbitals (σ- and π-bonds), polar and non-polar covalent bonds. Bond angles. Examples of organic molecules (orbital representation) with single, double, and triple bonds.</w:t>
            </w:r>
          </w:p>
          <w:p w14:paraId="09EAAB37" w14:textId="6E7FF843" w:rsidR="006A7026" w:rsidRPr="006A7026" w:rsidRDefault="006A7026" w:rsidP="006A7026">
            <w:pPr>
              <w:pStyle w:val="ListParagraph"/>
              <w:numPr>
                <w:ilvl w:val="0"/>
                <w:numId w:val="2"/>
              </w:numPr>
              <w:jc w:val="both"/>
              <w:rPr>
                <w:bCs/>
                <w:iCs/>
                <w:sz w:val="20"/>
                <w:szCs w:val="20"/>
              </w:rPr>
            </w:pPr>
            <w:r w:rsidRPr="006A7026">
              <w:rPr>
                <w:bCs/>
                <w:iCs/>
                <w:sz w:val="20"/>
                <w:szCs w:val="20"/>
              </w:rPr>
              <w:t xml:space="preserve">Physical properties, molecular structure, and intermolecular forces (dipole-dipole, van der Waals, and hydrogen bonds). Solubility and organic solvents. Examples. Representation of organic structures. Classification and nomenclature of organic compounds. Functional groups and priority order. Alkanes, alkenes, alkynes, aromatic hydrocarbons. Examples of </w:t>
            </w:r>
            <w:r w:rsidRPr="006A7026">
              <w:rPr>
                <w:bCs/>
                <w:iCs/>
                <w:sz w:val="20"/>
                <w:szCs w:val="20"/>
              </w:rPr>
              <w:lastRenderedPageBreak/>
              <w:t>nomenclature of branched acyclic, cyclic, and aromatic hydrocarbons. Alcohols, phenols, thiols.</w:t>
            </w:r>
          </w:p>
          <w:p w14:paraId="2CF65F0E" w14:textId="460C2725" w:rsidR="006A7026" w:rsidRPr="006A7026" w:rsidRDefault="006A7026" w:rsidP="006A7026">
            <w:pPr>
              <w:pStyle w:val="ListParagraph"/>
              <w:numPr>
                <w:ilvl w:val="0"/>
                <w:numId w:val="2"/>
              </w:numPr>
              <w:jc w:val="both"/>
              <w:rPr>
                <w:bCs/>
                <w:iCs/>
                <w:sz w:val="20"/>
                <w:szCs w:val="20"/>
              </w:rPr>
            </w:pPr>
            <w:r w:rsidRPr="006A7026">
              <w:rPr>
                <w:bCs/>
                <w:iCs/>
                <w:sz w:val="20"/>
                <w:szCs w:val="20"/>
              </w:rPr>
              <w:t>Ethers, thioethers, amines, organohalogen compounds, aldehydes, ketones, carboxylic acids. Derivatives of carboxylic acids (acyl halides, anhydrides, esters, amides, and nitriles).</w:t>
            </w:r>
          </w:p>
          <w:p w14:paraId="38ADE753" w14:textId="721B38C0" w:rsidR="006A7026" w:rsidRPr="006A7026" w:rsidRDefault="006A7026" w:rsidP="006A7026">
            <w:pPr>
              <w:pStyle w:val="ListParagraph"/>
              <w:numPr>
                <w:ilvl w:val="0"/>
                <w:numId w:val="2"/>
              </w:numPr>
              <w:jc w:val="both"/>
              <w:rPr>
                <w:bCs/>
                <w:iCs/>
                <w:sz w:val="20"/>
                <w:szCs w:val="20"/>
              </w:rPr>
            </w:pPr>
            <w:r w:rsidRPr="006A7026">
              <w:rPr>
                <w:bCs/>
                <w:iCs/>
                <w:sz w:val="20"/>
                <w:szCs w:val="20"/>
              </w:rPr>
              <w:t>Examples of nomenclature for different functional groups. Molecular representation. Types of isomers. Constitutional isomers. Index of hydrogen deficiency (IHD). Conformation and configuration. Stereoisomers. Conformations of acyclic alkanes (conformational analysis).</w:t>
            </w:r>
          </w:p>
          <w:p w14:paraId="6FCCAE46" w14:textId="0E40101E" w:rsidR="006A7026" w:rsidRPr="006A7026" w:rsidRDefault="006A7026" w:rsidP="006A7026">
            <w:pPr>
              <w:pStyle w:val="ListParagraph"/>
              <w:numPr>
                <w:ilvl w:val="0"/>
                <w:numId w:val="2"/>
              </w:numPr>
              <w:jc w:val="both"/>
              <w:rPr>
                <w:bCs/>
                <w:iCs/>
                <w:sz w:val="20"/>
                <w:szCs w:val="20"/>
              </w:rPr>
            </w:pPr>
            <w:r w:rsidRPr="006A7026">
              <w:rPr>
                <w:bCs/>
                <w:iCs/>
                <w:sz w:val="20"/>
                <w:szCs w:val="20"/>
              </w:rPr>
              <w:t>Conformations of cycloalkanes (angle strain and heat of combustion). Substituted cycloalkanes. Geometrical isomers of alkenes, aldoximes, ketoximes, and azo compounds (cis-, trans-, E-, Z-, syn-, anti-). CIP sequence rule. Examples of geometric isomers of molecules with multiple double bonds. Geometrical isomers of cyclic compounds (cis-, trans-isomers of conformational structures). Symmetry, chirality, and achirality. Stereogenic center (chiral center). Enantiomers. Diastereomers.</w:t>
            </w:r>
          </w:p>
          <w:p w14:paraId="263DCCE7" w14:textId="748C7D33" w:rsidR="006A7026" w:rsidRPr="006A7026" w:rsidRDefault="006A7026" w:rsidP="006A7026">
            <w:pPr>
              <w:pStyle w:val="ListParagraph"/>
              <w:numPr>
                <w:ilvl w:val="0"/>
                <w:numId w:val="2"/>
              </w:numPr>
              <w:jc w:val="both"/>
              <w:rPr>
                <w:bCs/>
                <w:iCs/>
                <w:sz w:val="20"/>
                <w:szCs w:val="20"/>
              </w:rPr>
            </w:pPr>
            <w:r w:rsidRPr="006A7026">
              <w:rPr>
                <w:bCs/>
                <w:iCs/>
                <w:sz w:val="20"/>
                <w:szCs w:val="20"/>
              </w:rPr>
              <w:t>Absolute configuration. CIP system - sequence rule. Fischer projection formulas. Properties of enantiomers. Optical activity. Racemic mixture. Enantiomeric excess. Optical purity. Biological significance of chirality. Examples of chiral biologically active substances.</w:t>
            </w:r>
          </w:p>
          <w:p w14:paraId="607E334B" w14:textId="555FCA38" w:rsidR="006A7026" w:rsidRPr="006A7026" w:rsidRDefault="006A7026" w:rsidP="006A7026">
            <w:pPr>
              <w:pStyle w:val="ListParagraph"/>
              <w:numPr>
                <w:ilvl w:val="0"/>
                <w:numId w:val="2"/>
              </w:numPr>
              <w:jc w:val="both"/>
              <w:rPr>
                <w:bCs/>
                <w:iCs/>
                <w:sz w:val="20"/>
                <w:szCs w:val="20"/>
              </w:rPr>
            </w:pPr>
            <w:r w:rsidRPr="006A7026">
              <w:rPr>
                <w:bCs/>
                <w:iCs/>
                <w:sz w:val="20"/>
                <w:szCs w:val="20"/>
              </w:rPr>
              <w:t>Separation of racemates (direct crystallization, conversion to diastereomers, chromatographic methods, and kinetic resolution). Molecules with more stereogenic centers. Relative configuration (erythro- and threo). Mesocompounds. Stereoisomers of cyclic compounds. Chiral molecules without a tetrahedral atom. Examples of distinguishing different types of stereoisomers.</w:t>
            </w:r>
          </w:p>
          <w:p w14:paraId="064FF19E" w14:textId="4BC805C3" w:rsidR="006A7026" w:rsidRPr="006A7026" w:rsidRDefault="006A7026" w:rsidP="006A7026">
            <w:pPr>
              <w:pStyle w:val="ListParagraph"/>
              <w:numPr>
                <w:ilvl w:val="0"/>
                <w:numId w:val="2"/>
              </w:numPr>
              <w:jc w:val="both"/>
              <w:rPr>
                <w:bCs/>
                <w:iCs/>
                <w:sz w:val="20"/>
                <w:szCs w:val="20"/>
              </w:rPr>
            </w:pPr>
            <w:r w:rsidRPr="006A7026">
              <w:rPr>
                <w:bCs/>
                <w:iCs/>
                <w:sz w:val="20"/>
                <w:szCs w:val="20"/>
              </w:rPr>
              <w:t>Determination of organic structures. Introduction. Mass spectrometry (MS). Resolution. Molecular ion. Isotopes. Fragmentation. Examples of mass spectra. Electromagnetic radiation. Ultraviolet and visible spectroscopy (UV/Vis). Infrared spectroscopy (IR). Nuclear magnetic resonance (NMR). ¹³C NMR, ¹H NMR. Chemical shift. Spin-spin coupling. Examples of IR and NMR spectra.</w:t>
            </w:r>
          </w:p>
          <w:p w14:paraId="28BAC081" w14:textId="49A87D1C" w:rsidR="006A7026" w:rsidRPr="006A7026" w:rsidRDefault="006A7026" w:rsidP="006A7026">
            <w:pPr>
              <w:pStyle w:val="ListParagraph"/>
              <w:numPr>
                <w:ilvl w:val="0"/>
                <w:numId w:val="2"/>
              </w:numPr>
              <w:jc w:val="both"/>
              <w:rPr>
                <w:bCs/>
                <w:iCs/>
                <w:sz w:val="20"/>
                <w:szCs w:val="20"/>
              </w:rPr>
            </w:pPr>
            <w:r w:rsidRPr="006A7026">
              <w:rPr>
                <w:bCs/>
                <w:iCs/>
                <w:sz w:val="20"/>
                <w:szCs w:val="20"/>
              </w:rPr>
              <w:t>Classification of organic reactions. Mechanisms. Acid-base reactions. Nucleophiles and electrophiles. Oxidation-reduction reactions. Energetics and reaction kinetics. Nucleophilic substitution at saturated carbon. SN2 mechanism. SN1 mechanism. Energy diagrams. Stereochemistry of nucleophilic substitution.</w:t>
            </w:r>
          </w:p>
          <w:p w14:paraId="51EB9C2A" w14:textId="53D796F6" w:rsidR="006A7026" w:rsidRPr="006A7026" w:rsidRDefault="006A7026" w:rsidP="006A7026">
            <w:pPr>
              <w:pStyle w:val="ListParagraph"/>
              <w:numPr>
                <w:ilvl w:val="0"/>
                <w:numId w:val="2"/>
              </w:numPr>
              <w:jc w:val="both"/>
              <w:rPr>
                <w:bCs/>
                <w:iCs/>
                <w:sz w:val="20"/>
                <w:szCs w:val="20"/>
              </w:rPr>
            </w:pPr>
            <w:r w:rsidRPr="006A7026">
              <w:rPr>
                <w:bCs/>
                <w:iCs/>
                <w:sz w:val="20"/>
                <w:szCs w:val="20"/>
              </w:rPr>
              <w:t>Variables in nucleophilic substitution (leaving group, nucleophile, substitution site, and solvent effects). Conditions for SN2 and SN1 reactions. Competitive reactions. Possibilities for nucleophilic substitution, common nucleophiles, and their products. Examples and problems.</w:t>
            </w:r>
          </w:p>
          <w:p w14:paraId="71225873" w14:textId="3E2B7287" w:rsidR="006A7026" w:rsidRPr="006A7026" w:rsidRDefault="006A7026" w:rsidP="006A7026">
            <w:pPr>
              <w:pStyle w:val="ListParagraph"/>
              <w:numPr>
                <w:ilvl w:val="0"/>
                <w:numId w:val="2"/>
              </w:numPr>
              <w:jc w:val="both"/>
              <w:rPr>
                <w:bCs/>
                <w:iCs/>
                <w:sz w:val="20"/>
                <w:szCs w:val="20"/>
              </w:rPr>
            </w:pPr>
            <w:r w:rsidRPr="006A7026">
              <w:rPr>
                <w:bCs/>
                <w:iCs/>
                <w:sz w:val="20"/>
                <w:szCs w:val="20"/>
              </w:rPr>
              <w:t>Elimination reactions. E1 and E2 mechanisms. Conditions for E1 and E2 reactions. Elimination orientation. Stereochemistry of elimination (syn- or anti-) (3 hours). Competition between elimination and substitution (reaction conditions and examples). Examples of elimination reactions: dehydrohalogenation, dehalogenation of vicinal dihalogenalkanes, double dehydrogenation, alcohol dehydration (E1 and E2 mechanisms, energy diagrams).</w:t>
            </w:r>
          </w:p>
          <w:p w14:paraId="467AB18D" w14:textId="75F1438F" w:rsidR="006A7026" w:rsidRPr="006A7026" w:rsidRDefault="006A7026" w:rsidP="006A7026">
            <w:pPr>
              <w:pStyle w:val="ListParagraph"/>
              <w:numPr>
                <w:ilvl w:val="0"/>
                <w:numId w:val="2"/>
              </w:numPr>
              <w:jc w:val="both"/>
              <w:rPr>
                <w:bCs/>
                <w:iCs/>
                <w:sz w:val="20"/>
                <w:szCs w:val="20"/>
              </w:rPr>
            </w:pPr>
            <w:r w:rsidRPr="006A7026">
              <w:rPr>
                <w:bCs/>
                <w:iCs/>
                <w:sz w:val="20"/>
                <w:szCs w:val="20"/>
              </w:rPr>
              <w:t>Electrophilic addition. Addition orientation (regioselectivity). Stereochemistry of addition (syn- or anti-). Radical addition. Hydrogen addition. Halogen addition. Halo(gen)hydration. Addition of hydrogen halides. Conditions for Markovnikov and anti-Markovnikov additions.</w:t>
            </w:r>
          </w:p>
          <w:p w14:paraId="7D017017" w14:textId="00D54F12" w:rsidR="006A7026" w:rsidRPr="006A7026" w:rsidRDefault="006A7026" w:rsidP="006A7026">
            <w:pPr>
              <w:pStyle w:val="ListParagraph"/>
              <w:numPr>
                <w:ilvl w:val="0"/>
                <w:numId w:val="2"/>
              </w:numPr>
              <w:jc w:val="both"/>
              <w:rPr>
                <w:bCs/>
                <w:iCs/>
                <w:sz w:val="20"/>
                <w:szCs w:val="20"/>
              </w:rPr>
            </w:pPr>
            <w:r w:rsidRPr="006A7026">
              <w:rPr>
                <w:bCs/>
                <w:iCs/>
                <w:sz w:val="20"/>
                <w:szCs w:val="20"/>
              </w:rPr>
              <w:t>Hydration. Oxymercuration/demercuration. Hydroboration. Epoxidation-hydroxylation. Oxidation of alkenes with KMnO₄ and OsO₄. Ozonolysis of alkenes. Alkene addition (alkylation).</w:t>
            </w:r>
          </w:p>
          <w:p w14:paraId="28094BFD" w14:textId="008E54B4" w:rsidR="006A7026" w:rsidRPr="006A7026" w:rsidRDefault="006A7026" w:rsidP="006A7026">
            <w:pPr>
              <w:pStyle w:val="ListParagraph"/>
              <w:numPr>
                <w:ilvl w:val="0"/>
                <w:numId w:val="2"/>
              </w:numPr>
              <w:jc w:val="both"/>
              <w:rPr>
                <w:bCs/>
                <w:iCs/>
                <w:sz w:val="20"/>
                <w:szCs w:val="20"/>
              </w:rPr>
            </w:pPr>
            <w:r w:rsidRPr="006A7026">
              <w:rPr>
                <w:bCs/>
                <w:iCs/>
                <w:sz w:val="20"/>
                <w:szCs w:val="20"/>
              </w:rPr>
              <w:lastRenderedPageBreak/>
              <w:t>Polymerization (radical and ionic types). Examples of typical polymers. Additions to alkynes. Examples. Summary reactions of alkanes, alkenes, alkynes, and halogenalkanes. Aromatic and antiaromatic compounds. Benzene structure. Examples. Mechanism of electrophilic aromatic substitution. Influence of groups on electrophilic aromatic substitution.</w:t>
            </w:r>
          </w:p>
          <w:p w14:paraId="01F4FDEC" w14:textId="07B4FA70" w:rsidR="006A7026" w:rsidRPr="00CE4529" w:rsidRDefault="006A7026" w:rsidP="006A7026">
            <w:pPr>
              <w:pStyle w:val="ListParagraph"/>
              <w:numPr>
                <w:ilvl w:val="0"/>
                <w:numId w:val="2"/>
              </w:numPr>
              <w:jc w:val="both"/>
              <w:rPr>
                <w:bCs/>
                <w:iCs/>
                <w:sz w:val="20"/>
                <w:szCs w:val="20"/>
              </w:rPr>
            </w:pPr>
            <w:r w:rsidRPr="006A7026">
              <w:rPr>
                <w:bCs/>
                <w:iCs/>
                <w:sz w:val="20"/>
                <w:szCs w:val="20"/>
              </w:rPr>
              <w:t>Substitution in multiply substituted aromatic compounds. Arenes. Phenols. Aromatic amines. Examples and problems.</w:t>
            </w:r>
          </w:p>
        </w:tc>
      </w:tr>
      <w:tr w:rsidR="006A7026" w:rsidRPr="0027558B" w14:paraId="2F5B82E6"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48FB3DE1" w14:textId="77777777" w:rsidR="006A7026" w:rsidRPr="00276511" w:rsidRDefault="006A7026" w:rsidP="00EA4FBC">
            <w:pPr>
              <w:jc w:val="center"/>
              <w:rPr>
                <w:b/>
                <w:sz w:val="20"/>
                <w:szCs w:val="20"/>
              </w:rPr>
            </w:pPr>
            <w:r w:rsidRPr="00DA0034">
              <w:rPr>
                <w:b/>
                <w:sz w:val="20"/>
                <w:szCs w:val="20"/>
              </w:rPr>
              <w:lastRenderedPageBreak/>
              <w:t>Teaching methods /learning methods:</w:t>
            </w:r>
          </w:p>
        </w:tc>
        <w:tc>
          <w:tcPr>
            <w:tcW w:w="6974" w:type="dxa"/>
            <w:gridSpan w:val="2"/>
            <w:tcBorders>
              <w:left w:val="double" w:sz="4" w:space="0" w:color="auto"/>
            </w:tcBorders>
            <w:vAlign w:val="center"/>
          </w:tcPr>
          <w:p w14:paraId="6981B076" w14:textId="77777777" w:rsidR="006A7026" w:rsidRPr="00227520" w:rsidRDefault="006A7026" w:rsidP="00EA4FBC">
            <w:pPr>
              <w:jc w:val="both"/>
              <w:rPr>
                <w:sz w:val="20"/>
                <w:szCs w:val="20"/>
              </w:rPr>
            </w:pPr>
            <w:r>
              <w:rPr>
                <w:sz w:val="20"/>
                <w:szCs w:val="20"/>
              </w:rPr>
              <w:t>Lectures, lab excercises</w:t>
            </w:r>
          </w:p>
        </w:tc>
      </w:tr>
      <w:tr w:rsidR="006A7026" w:rsidRPr="0027558B" w14:paraId="72FD9AB5"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64B977D6" w14:textId="77777777" w:rsidR="006A7026" w:rsidRPr="00276511" w:rsidRDefault="006A7026" w:rsidP="00EA4FBC">
            <w:pPr>
              <w:jc w:val="center"/>
              <w:rPr>
                <w:b/>
                <w:sz w:val="20"/>
                <w:szCs w:val="20"/>
              </w:rPr>
            </w:pPr>
            <w:r w:rsidRPr="00DA0034">
              <w:rPr>
                <w:b/>
                <w:sz w:val="20"/>
                <w:szCs w:val="20"/>
              </w:rPr>
              <w:t xml:space="preserve">Other Student Obligations (if </w:t>
            </w:r>
            <w:r>
              <w:rPr>
                <w:b/>
                <w:sz w:val="20"/>
                <w:szCs w:val="20"/>
              </w:rPr>
              <w:t>foreseen</w:t>
            </w:r>
            <w:r w:rsidRPr="00DA0034">
              <w:rPr>
                <w:b/>
                <w:sz w:val="20"/>
                <w:szCs w:val="20"/>
              </w:rPr>
              <w:t>):</w:t>
            </w:r>
          </w:p>
        </w:tc>
        <w:tc>
          <w:tcPr>
            <w:tcW w:w="6974" w:type="dxa"/>
            <w:gridSpan w:val="2"/>
            <w:tcBorders>
              <w:left w:val="double" w:sz="4" w:space="0" w:color="auto"/>
            </w:tcBorders>
            <w:vAlign w:val="center"/>
          </w:tcPr>
          <w:p w14:paraId="3A37351E" w14:textId="77777777" w:rsidR="006A7026" w:rsidRPr="00227520" w:rsidRDefault="006A7026" w:rsidP="00EA4FBC">
            <w:pPr>
              <w:jc w:val="center"/>
              <w:rPr>
                <w:spacing w:val="-3"/>
                <w:sz w:val="20"/>
                <w:szCs w:val="20"/>
              </w:rPr>
            </w:pPr>
          </w:p>
        </w:tc>
      </w:tr>
      <w:tr w:rsidR="006A7026" w:rsidRPr="0027558B" w14:paraId="72E6D6CC"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062517A8" w14:textId="77777777" w:rsidR="006A7026" w:rsidRPr="00276511" w:rsidRDefault="006A7026" w:rsidP="00EA4FBC">
            <w:pPr>
              <w:jc w:val="center"/>
              <w:rPr>
                <w:b/>
                <w:sz w:val="20"/>
                <w:szCs w:val="20"/>
              </w:rPr>
            </w:pPr>
            <w:r w:rsidRPr="00DA0034">
              <w:rPr>
                <w:b/>
                <w:sz w:val="20"/>
                <w:szCs w:val="20"/>
              </w:rPr>
              <w:t>Assessment Methods / Methods of Examination</w:t>
            </w:r>
          </w:p>
        </w:tc>
        <w:tc>
          <w:tcPr>
            <w:tcW w:w="6974" w:type="dxa"/>
            <w:gridSpan w:val="2"/>
            <w:tcBorders>
              <w:left w:val="double" w:sz="4" w:space="0" w:color="auto"/>
            </w:tcBorders>
            <w:vAlign w:val="center"/>
          </w:tcPr>
          <w:p w14:paraId="58092BEC" w14:textId="77777777" w:rsidR="006A7026" w:rsidRPr="00227520" w:rsidRDefault="006A7026" w:rsidP="00EA4FBC">
            <w:pPr>
              <w:jc w:val="both"/>
              <w:rPr>
                <w:sz w:val="20"/>
                <w:szCs w:val="20"/>
              </w:rPr>
            </w:pPr>
            <w:r>
              <w:rPr>
                <w:sz w:val="20"/>
                <w:szCs w:val="20"/>
              </w:rPr>
              <w:t>W</w:t>
            </w:r>
            <w:r w:rsidRPr="005C2255">
              <w:rPr>
                <w:sz w:val="20"/>
                <w:szCs w:val="20"/>
              </w:rPr>
              <w:t>ritten and oral examination method</w:t>
            </w:r>
          </w:p>
        </w:tc>
      </w:tr>
      <w:tr w:rsidR="006A7026" w:rsidRPr="0027558B" w14:paraId="4A0DA804"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1CCB36B0" w14:textId="77777777" w:rsidR="006A7026" w:rsidRPr="00DA0034" w:rsidRDefault="006A7026" w:rsidP="00EA4FBC">
            <w:pPr>
              <w:jc w:val="center"/>
              <w:rPr>
                <w:b/>
                <w:sz w:val="20"/>
                <w:szCs w:val="20"/>
              </w:rPr>
            </w:pPr>
            <w:r w:rsidRPr="00DA0034">
              <w:rPr>
                <w:b/>
                <w:sz w:val="20"/>
                <w:szCs w:val="20"/>
              </w:rPr>
              <w:t>List of basic litera</w:t>
            </w:r>
            <w:r>
              <w:rPr>
                <w:b/>
                <w:sz w:val="20"/>
                <w:szCs w:val="20"/>
              </w:rPr>
              <w:t>ture and</w:t>
            </w:r>
          </w:p>
          <w:p w14:paraId="3AFDCB0A" w14:textId="77777777" w:rsidR="006A7026" w:rsidRPr="00276511" w:rsidRDefault="006A7026" w:rsidP="00EA4FBC">
            <w:pPr>
              <w:jc w:val="center"/>
              <w:rPr>
                <w:b/>
                <w:sz w:val="20"/>
                <w:szCs w:val="20"/>
              </w:rPr>
            </w:pPr>
            <w:r w:rsidRPr="00DA0034">
              <w:rPr>
                <w:b/>
                <w:sz w:val="20"/>
                <w:szCs w:val="20"/>
              </w:rPr>
              <w:t>Internet web references:</w:t>
            </w:r>
          </w:p>
        </w:tc>
        <w:tc>
          <w:tcPr>
            <w:tcW w:w="6974" w:type="dxa"/>
            <w:gridSpan w:val="2"/>
            <w:tcBorders>
              <w:left w:val="double" w:sz="4" w:space="0" w:color="auto"/>
            </w:tcBorders>
          </w:tcPr>
          <w:p w14:paraId="48353D3D" w14:textId="77777777" w:rsidR="006A7026" w:rsidRPr="006A7026" w:rsidRDefault="006A7026" w:rsidP="006A7026">
            <w:pPr>
              <w:pStyle w:val="TableParagraph"/>
              <w:numPr>
                <w:ilvl w:val="1"/>
                <w:numId w:val="1"/>
              </w:numPr>
              <w:tabs>
                <w:tab w:val="left" w:pos="825"/>
                <w:tab w:val="left" w:pos="826"/>
              </w:tabs>
              <w:ind w:right="95"/>
              <w:rPr>
                <w:sz w:val="20"/>
              </w:rPr>
            </w:pPr>
            <w:r w:rsidRPr="006A7026">
              <w:rPr>
                <w:sz w:val="20"/>
              </w:rPr>
              <w:t>Pine, S. H. (1994). Organska kemija. Zagreb:Školska knjiga.</w:t>
            </w:r>
          </w:p>
          <w:p w14:paraId="3B235F30" w14:textId="3C714362" w:rsidR="006A7026" w:rsidRPr="006A7026" w:rsidRDefault="006A7026" w:rsidP="006A7026">
            <w:pPr>
              <w:pStyle w:val="TableParagraph"/>
              <w:numPr>
                <w:ilvl w:val="1"/>
                <w:numId w:val="1"/>
              </w:numPr>
              <w:tabs>
                <w:tab w:val="left" w:pos="825"/>
                <w:tab w:val="left" w:pos="826"/>
              </w:tabs>
              <w:ind w:right="95"/>
              <w:rPr>
                <w:sz w:val="20"/>
              </w:rPr>
            </w:pPr>
            <w:r w:rsidRPr="006A7026">
              <w:rPr>
                <w:sz w:val="20"/>
              </w:rPr>
              <w:t>Vollhardt, K.P.C, Schore; N.E. (20014):Organska hemija, Struktura i</w:t>
            </w:r>
            <w:r>
              <w:rPr>
                <w:sz w:val="20"/>
              </w:rPr>
              <w:t xml:space="preserve"> </w:t>
            </w:r>
            <w:r w:rsidRPr="006A7026">
              <w:rPr>
                <w:sz w:val="20"/>
              </w:rPr>
              <w:t>funkcija, četvrto izdanje. Beograd: Data Status.</w:t>
            </w:r>
          </w:p>
          <w:p w14:paraId="55046CD4" w14:textId="3FAE0664" w:rsidR="006A7026" w:rsidRPr="006A7026" w:rsidRDefault="006A7026" w:rsidP="006A7026">
            <w:pPr>
              <w:pStyle w:val="TableParagraph"/>
              <w:numPr>
                <w:ilvl w:val="1"/>
                <w:numId w:val="1"/>
              </w:numPr>
              <w:tabs>
                <w:tab w:val="left" w:pos="825"/>
                <w:tab w:val="left" w:pos="826"/>
              </w:tabs>
              <w:ind w:right="95"/>
              <w:rPr>
                <w:sz w:val="20"/>
              </w:rPr>
            </w:pPr>
            <w:r w:rsidRPr="006A7026">
              <w:rPr>
                <w:sz w:val="20"/>
              </w:rPr>
              <w:t>Gorzynski Smith, J. (2011). Organic chemistry, Third edition. The</w:t>
            </w:r>
            <w:r>
              <w:rPr>
                <w:sz w:val="20"/>
              </w:rPr>
              <w:t xml:space="preserve"> </w:t>
            </w:r>
            <w:r w:rsidRPr="006A7026">
              <w:rPr>
                <w:sz w:val="20"/>
              </w:rPr>
              <w:t>McGraw-Hill Companies, Inc. All.</w:t>
            </w:r>
          </w:p>
          <w:p w14:paraId="1FC28B42" w14:textId="77777777" w:rsidR="006A7026" w:rsidRDefault="006A7026" w:rsidP="006A7026">
            <w:pPr>
              <w:pStyle w:val="TableParagraph"/>
              <w:numPr>
                <w:ilvl w:val="1"/>
                <w:numId w:val="1"/>
              </w:numPr>
              <w:tabs>
                <w:tab w:val="left" w:pos="825"/>
                <w:tab w:val="left" w:pos="826"/>
              </w:tabs>
              <w:ind w:right="95"/>
              <w:rPr>
                <w:sz w:val="20"/>
              </w:rPr>
            </w:pPr>
            <w:r w:rsidRPr="006A7026">
              <w:rPr>
                <w:sz w:val="20"/>
              </w:rPr>
              <w:t>Nikolin, A. (1984). Praktikum iz organske hemije. Svjetlost: Sarajevo.</w:t>
            </w:r>
          </w:p>
          <w:p w14:paraId="352791B5" w14:textId="3785E0E7" w:rsidR="006A7026" w:rsidRPr="006A7026" w:rsidRDefault="006A7026" w:rsidP="006A7026">
            <w:pPr>
              <w:pStyle w:val="TableParagraph"/>
              <w:numPr>
                <w:ilvl w:val="1"/>
                <w:numId w:val="1"/>
              </w:numPr>
              <w:tabs>
                <w:tab w:val="left" w:pos="825"/>
                <w:tab w:val="left" w:pos="826"/>
              </w:tabs>
              <w:ind w:right="95"/>
              <w:rPr>
                <w:sz w:val="20"/>
              </w:rPr>
            </w:pPr>
            <w:r w:rsidRPr="006A7026">
              <w:rPr>
                <w:sz w:val="20"/>
              </w:rPr>
              <w:t xml:space="preserve"> Kronja, O., Borčić, S. (2004). Praktikum iz organske kemije. Zagreb:</w:t>
            </w:r>
            <w:r>
              <w:rPr>
                <w:sz w:val="20"/>
              </w:rPr>
              <w:t xml:space="preserve"> </w:t>
            </w:r>
            <w:r w:rsidRPr="006A7026">
              <w:rPr>
                <w:sz w:val="20"/>
              </w:rPr>
              <w:t>Školska knjiga</w:t>
            </w:r>
          </w:p>
        </w:tc>
      </w:tr>
      <w:tr w:rsidR="006A7026" w:rsidRPr="0027558B" w14:paraId="208A306C" w14:textId="77777777" w:rsidTr="00EA4FBC">
        <w:tc>
          <w:tcPr>
            <w:tcW w:w="3313" w:type="dxa"/>
            <w:tcBorders>
              <w:top w:val="single" w:sz="4" w:space="0" w:color="auto"/>
              <w:bottom w:val="double" w:sz="4" w:space="0" w:color="auto"/>
              <w:right w:val="double" w:sz="4" w:space="0" w:color="auto"/>
            </w:tcBorders>
            <w:shd w:val="clear" w:color="auto" w:fill="CCCCCC"/>
            <w:vAlign w:val="center"/>
          </w:tcPr>
          <w:p w14:paraId="08F38470" w14:textId="77777777" w:rsidR="006A7026" w:rsidRPr="00276511" w:rsidRDefault="006A7026" w:rsidP="00EA4FBC">
            <w:pPr>
              <w:jc w:val="center"/>
              <w:rPr>
                <w:b/>
                <w:sz w:val="20"/>
                <w:szCs w:val="20"/>
              </w:rPr>
            </w:pPr>
            <w:r>
              <w:rPr>
                <w:b/>
                <w:sz w:val="20"/>
                <w:szCs w:val="20"/>
              </w:rPr>
              <w:t xml:space="preserve">Quality </w:t>
            </w:r>
            <w:r w:rsidRPr="00E05C98">
              <w:rPr>
                <w:b/>
                <w:sz w:val="20"/>
                <w:szCs w:val="20"/>
              </w:rPr>
              <w:t>assurance and performance of the subjec</w:t>
            </w:r>
            <w:r>
              <w:rPr>
                <w:b/>
                <w:sz w:val="20"/>
                <w:szCs w:val="20"/>
              </w:rPr>
              <w:t>t</w:t>
            </w:r>
          </w:p>
        </w:tc>
        <w:tc>
          <w:tcPr>
            <w:tcW w:w="6974" w:type="dxa"/>
            <w:gridSpan w:val="2"/>
            <w:tcBorders>
              <w:left w:val="double" w:sz="4" w:space="0" w:color="auto"/>
            </w:tcBorders>
            <w:vAlign w:val="center"/>
          </w:tcPr>
          <w:p w14:paraId="012C6E25" w14:textId="77777777" w:rsidR="006A7026" w:rsidRPr="004905A6" w:rsidRDefault="006A7026" w:rsidP="00EA4FBC">
            <w:pPr>
              <w:jc w:val="center"/>
              <w:rPr>
                <w:sz w:val="20"/>
                <w:szCs w:val="20"/>
              </w:rPr>
            </w:pPr>
          </w:p>
        </w:tc>
      </w:tr>
    </w:tbl>
    <w:p w14:paraId="243712A1" w14:textId="77777777" w:rsidR="001A7A94" w:rsidRDefault="001A7A94"/>
    <w:sectPr w:rsidR="001A7A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C1DA4"/>
    <w:multiLevelType w:val="hybridMultilevel"/>
    <w:tmpl w:val="9564B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842A2B"/>
    <w:multiLevelType w:val="multilevel"/>
    <w:tmpl w:val="816A3D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F4328F"/>
    <w:multiLevelType w:val="hybridMultilevel"/>
    <w:tmpl w:val="BFACC6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94938989">
    <w:abstractNumId w:val="1"/>
  </w:num>
  <w:num w:numId="2" w16cid:durableId="339238329">
    <w:abstractNumId w:val="0"/>
  </w:num>
  <w:num w:numId="3" w16cid:durableId="694580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026"/>
    <w:rsid w:val="000D39DE"/>
    <w:rsid w:val="001A7A94"/>
    <w:rsid w:val="00250A7D"/>
    <w:rsid w:val="003316E7"/>
    <w:rsid w:val="003455F3"/>
    <w:rsid w:val="003B63CA"/>
    <w:rsid w:val="00541930"/>
    <w:rsid w:val="006A7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A1A5A"/>
  <w15:chartTrackingRefBased/>
  <w15:docId w15:val="{0DCD819F-19EE-4449-AC95-E1E5900FA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026"/>
    <w:pPr>
      <w:spacing w:after="0" w:line="240" w:lineRule="auto"/>
    </w:pPr>
    <w:rPr>
      <w:rFonts w:ascii="Times New Roman" w:eastAsia="Times New Roman" w:hAnsi="Times New Roman" w:cs="Times New Roman"/>
      <w:sz w:val="24"/>
      <w:szCs w:val="24"/>
      <w:lang w:val="bs-Latn-BA"/>
    </w:rPr>
  </w:style>
  <w:style w:type="paragraph" w:styleId="Heading1">
    <w:name w:val="heading 1"/>
    <w:basedOn w:val="Normal"/>
    <w:next w:val="Normal"/>
    <w:link w:val="Heading1Char"/>
    <w:qFormat/>
    <w:rsid w:val="006A70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70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70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70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70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70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70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70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70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7026"/>
    <w:rPr>
      <w:rFonts w:asciiTheme="majorHAnsi" w:eastAsiaTheme="majorEastAsia" w:hAnsiTheme="majorHAnsi" w:cstheme="majorBidi"/>
      <w:noProof/>
      <w:color w:val="0F4761" w:themeColor="accent1" w:themeShade="BF"/>
      <w:sz w:val="40"/>
      <w:szCs w:val="40"/>
      <w:lang w:val="hr-HR"/>
    </w:rPr>
  </w:style>
  <w:style w:type="character" w:customStyle="1" w:styleId="Heading2Char">
    <w:name w:val="Heading 2 Char"/>
    <w:basedOn w:val="DefaultParagraphFont"/>
    <w:link w:val="Heading2"/>
    <w:uiPriority w:val="9"/>
    <w:semiHidden/>
    <w:rsid w:val="006A7026"/>
    <w:rPr>
      <w:rFonts w:asciiTheme="majorHAnsi" w:eastAsiaTheme="majorEastAsia" w:hAnsiTheme="majorHAnsi" w:cstheme="majorBidi"/>
      <w:noProof/>
      <w:color w:val="0F4761" w:themeColor="accent1" w:themeShade="BF"/>
      <w:sz w:val="32"/>
      <w:szCs w:val="32"/>
      <w:lang w:val="hr-HR"/>
    </w:rPr>
  </w:style>
  <w:style w:type="character" w:customStyle="1" w:styleId="Heading3Char">
    <w:name w:val="Heading 3 Char"/>
    <w:basedOn w:val="DefaultParagraphFont"/>
    <w:link w:val="Heading3"/>
    <w:uiPriority w:val="9"/>
    <w:semiHidden/>
    <w:rsid w:val="006A7026"/>
    <w:rPr>
      <w:rFonts w:eastAsiaTheme="majorEastAsia" w:cstheme="majorBidi"/>
      <w:noProof/>
      <w:color w:val="0F4761" w:themeColor="accent1" w:themeShade="BF"/>
      <w:sz w:val="28"/>
      <w:szCs w:val="28"/>
      <w:lang w:val="hr-HR"/>
    </w:rPr>
  </w:style>
  <w:style w:type="character" w:customStyle="1" w:styleId="Heading4Char">
    <w:name w:val="Heading 4 Char"/>
    <w:basedOn w:val="DefaultParagraphFont"/>
    <w:link w:val="Heading4"/>
    <w:uiPriority w:val="9"/>
    <w:semiHidden/>
    <w:rsid w:val="006A7026"/>
    <w:rPr>
      <w:rFonts w:eastAsiaTheme="majorEastAsia" w:cstheme="majorBidi"/>
      <w:i/>
      <w:iCs/>
      <w:noProof/>
      <w:color w:val="0F4761" w:themeColor="accent1" w:themeShade="BF"/>
      <w:lang w:val="hr-HR"/>
    </w:rPr>
  </w:style>
  <w:style w:type="character" w:customStyle="1" w:styleId="Heading5Char">
    <w:name w:val="Heading 5 Char"/>
    <w:basedOn w:val="DefaultParagraphFont"/>
    <w:link w:val="Heading5"/>
    <w:uiPriority w:val="9"/>
    <w:semiHidden/>
    <w:rsid w:val="006A7026"/>
    <w:rPr>
      <w:rFonts w:eastAsiaTheme="majorEastAsia" w:cstheme="majorBidi"/>
      <w:noProof/>
      <w:color w:val="0F4761" w:themeColor="accent1" w:themeShade="BF"/>
      <w:lang w:val="hr-HR"/>
    </w:rPr>
  </w:style>
  <w:style w:type="character" w:customStyle="1" w:styleId="Heading6Char">
    <w:name w:val="Heading 6 Char"/>
    <w:basedOn w:val="DefaultParagraphFont"/>
    <w:link w:val="Heading6"/>
    <w:uiPriority w:val="9"/>
    <w:semiHidden/>
    <w:rsid w:val="006A7026"/>
    <w:rPr>
      <w:rFonts w:eastAsiaTheme="majorEastAsia" w:cstheme="majorBidi"/>
      <w:i/>
      <w:iCs/>
      <w:noProof/>
      <w:color w:val="595959" w:themeColor="text1" w:themeTint="A6"/>
      <w:lang w:val="hr-HR"/>
    </w:rPr>
  </w:style>
  <w:style w:type="character" w:customStyle="1" w:styleId="Heading7Char">
    <w:name w:val="Heading 7 Char"/>
    <w:basedOn w:val="DefaultParagraphFont"/>
    <w:link w:val="Heading7"/>
    <w:uiPriority w:val="9"/>
    <w:semiHidden/>
    <w:rsid w:val="006A7026"/>
    <w:rPr>
      <w:rFonts w:eastAsiaTheme="majorEastAsia" w:cstheme="majorBidi"/>
      <w:noProof/>
      <w:color w:val="595959" w:themeColor="text1" w:themeTint="A6"/>
      <w:lang w:val="hr-HR"/>
    </w:rPr>
  </w:style>
  <w:style w:type="character" w:customStyle="1" w:styleId="Heading8Char">
    <w:name w:val="Heading 8 Char"/>
    <w:basedOn w:val="DefaultParagraphFont"/>
    <w:link w:val="Heading8"/>
    <w:uiPriority w:val="9"/>
    <w:semiHidden/>
    <w:rsid w:val="006A7026"/>
    <w:rPr>
      <w:rFonts w:eastAsiaTheme="majorEastAsia" w:cstheme="majorBidi"/>
      <w:i/>
      <w:iCs/>
      <w:noProof/>
      <w:color w:val="272727" w:themeColor="text1" w:themeTint="D8"/>
      <w:lang w:val="hr-HR"/>
    </w:rPr>
  </w:style>
  <w:style w:type="character" w:customStyle="1" w:styleId="Heading9Char">
    <w:name w:val="Heading 9 Char"/>
    <w:basedOn w:val="DefaultParagraphFont"/>
    <w:link w:val="Heading9"/>
    <w:uiPriority w:val="9"/>
    <w:semiHidden/>
    <w:rsid w:val="006A7026"/>
    <w:rPr>
      <w:rFonts w:eastAsiaTheme="majorEastAsia" w:cstheme="majorBidi"/>
      <w:noProof/>
      <w:color w:val="272727" w:themeColor="text1" w:themeTint="D8"/>
      <w:lang w:val="hr-HR"/>
    </w:rPr>
  </w:style>
  <w:style w:type="paragraph" w:styleId="Title">
    <w:name w:val="Title"/>
    <w:basedOn w:val="Normal"/>
    <w:next w:val="Normal"/>
    <w:link w:val="TitleChar"/>
    <w:uiPriority w:val="10"/>
    <w:qFormat/>
    <w:rsid w:val="006A70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026"/>
    <w:rPr>
      <w:rFonts w:asciiTheme="majorHAnsi" w:eastAsiaTheme="majorEastAsia" w:hAnsiTheme="majorHAnsi" w:cstheme="majorBidi"/>
      <w:noProof/>
      <w:spacing w:val="-10"/>
      <w:kern w:val="28"/>
      <w:sz w:val="56"/>
      <w:szCs w:val="56"/>
      <w:lang w:val="hr-HR"/>
    </w:rPr>
  </w:style>
  <w:style w:type="paragraph" w:styleId="Subtitle">
    <w:name w:val="Subtitle"/>
    <w:basedOn w:val="Normal"/>
    <w:next w:val="Normal"/>
    <w:link w:val="SubtitleChar"/>
    <w:uiPriority w:val="11"/>
    <w:qFormat/>
    <w:rsid w:val="006A70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026"/>
    <w:rPr>
      <w:rFonts w:eastAsiaTheme="majorEastAsia" w:cstheme="majorBidi"/>
      <w:noProof/>
      <w:color w:val="595959" w:themeColor="text1" w:themeTint="A6"/>
      <w:spacing w:val="15"/>
      <w:sz w:val="28"/>
      <w:szCs w:val="28"/>
      <w:lang w:val="hr-HR"/>
    </w:rPr>
  </w:style>
  <w:style w:type="paragraph" w:styleId="Quote">
    <w:name w:val="Quote"/>
    <w:basedOn w:val="Normal"/>
    <w:next w:val="Normal"/>
    <w:link w:val="QuoteChar"/>
    <w:uiPriority w:val="29"/>
    <w:qFormat/>
    <w:rsid w:val="006A7026"/>
    <w:pPr>
      <w:spacing w:before="160"/>
      <w:jc w:val="center"/>
    </w:pPr>
    <w:rPr>
      <w:i/>
      <w:iCs/>
      <w:color w:val="404040" w:themeColor="text1" w:themeTint="BF"/>
    </w:rPr>
  </w:style>
  <w:style w:type="character" w:customStyle="1" w:styleId="QuoteChar">
    <w:name w:val="Quote Char"/>
    <w:basedOn w:val="DefaultParagraphFont"/>
    <w:link w:val="Quote"/>
    <w:uiPriority w:val="29"/>
    <w:rsid w:val="006A7026"/>
    <w:rPr>
      <w:i/>
      <w:iCs/>
      <w:noProof/>
      <w:color w:val="404040" w:themeColor="text1" w:themeTint="BF"/>
      <w:lang w:val="hr-HR"/>
    </w:rPr>
  </w:style>
  <w:style w:type="paragraph" w:styleId="ListParagraph">
    <w:name w:val="List Paragraph"/>
    <w:basedOn w:val="Normal"/>
    <w:uiPriority w:val="34"/>
    <w:qFormat/>
    <w:rsid w:val="006A7026"/>
    <w:pPr>
      <w:ind w:left="720"/>
      <w:contextualSpacing/>
    </w:pPr>
  </w:style>
  <w:style w:type="character" w:styleId="IntenseEmphasis">
    <w:name w:val="Intense Emphasis"/>
    <w:basedOn w:val="DefaultParagraphFont"/>
    <w:uiPriority w:val="21"/>
    <w:qFormat/>
    <w:rsid w:val="006A7026"/>
    <w:rPr>
      <w:i/>
      <w:iCs/>
      <w:color w:val="0F4761" w:themeColor="accent1" w:themeShade="BF"/>
    </w:rPr>
  </w:style>
  <w:style w:type="paragraph" w:styleId="IntenseQuote">
    <w:name w:val="Intense Quote"/>
    <w:basedOn w:val="Normal"/>
    <w:next w:val="Normal"/>
    <w:link w:val="IntenseQuoteChar"/>
    <w:uiPriority w:val="30"/>
    <w:qFormat/>
    <w:rsid w:val="006A70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7026"/>
    <w:rPr>
      <w:i/>
      <w:iCs/>
      <w:noProof/>
      <w:color w:val="0F4761" w:themeColor="accent1" w:themeShade="BF"/>
      <w:lang w:val="hr-HR"/>
    </w:rPr>
  </w:style>
  <w:style w:type="character" w:styleId="IntenseReference">
    <w:name w:val="Intense Reference"/>
    <w:basedOn w:val="DefaultParagraphFont"/>
    <w:uiPriority w:val="32"/>
    <w:qFormat/>
    <w:rsid w:val="006A7026"/>
    <w:rPr>
      <w:b/>
      <w:bCs/>
      <w:smallCaps/>
      <w:color w:val="0F4761" w:themeColor="accent1" w:themeShade="BF"/>
      <w:spacing w:val="5"/>
    </w:rPr>
  </w:style>
  <w:style w:type="paragraph" w:customStyle="1" w:styleId="TableParagraph">
    <w:name w:val="Table Paragraph"/>
    <w:basedOn w:val="Normal"/>
    <w:uiPriority w:val="1"/>
    <w:qFormat/>
    <w:rsid w:val="006A7026"/>
    <w:pPr>
      <w:widowControl w:val="0"/>
      <w:autoSpaceDE w:val="0"/>
      <w:autoSpaceDN w:val="0"/>
    </w:pPr>
    <w:rPr>
      <w:sz w:val="22"/>
      <w:szCs w:val="22"/>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1021</Words>
  <Characters>6640</Characters>
  <Application>Microsoft Office Word</Application>
  <DocSecurity>0</DocSecurity>
  <Lines>201</Lines>
  <Paragraphs>139</Paragraphs>
  <ScaleCrop>false</ScaleCrop>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Emina Mehić</dc:creator>
  <cp:keywords/>
  <dc:description/>
  <cp:lastModifiedBy>Emina Mehić</cp:lastModifiedBy>
  <cp:revision>1</cp:revision>
  <dcterms:created xsi:type="dcterms:W3CDTF">2025-12-05T10:49:00Z</dcterms:created>
  <dcterms:modified xsi:type="dcterms:W3CDTF">2025-12-05T10:54:00Z</dcterms:modified>
</cp:coreProperties>
</file>