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3761"/>
        <w:gridCol w:w="3213"/>
      </w:tblGrid>
      <w:tr w:rsidR="00001346" w:rsidRPr="00276511" w:rsidTr="003F2CC2">
        <w:trPr>
          <w:trHeight w:val="524"/>
        </w:trPr>
        <w:tc>
          <w:tcPr>
            <w:tcW w:w="10287" w:type="dxa"/>
            <w:gridSpan w:val="3"/>
            <w:tcBorders>
              <w:top w:val="double" w:sz="4" w:space="0" w:color="auto"/>
              <w:bottom w:val="double" w:sz="4" w:space="0" w:color="auto"/>
            </w:tcBorders>
            <w:shd w:val="clear" w:color="auto" w:fill="CCCCCC"/>
            <w:vAlign w:val="center"/>
          </w:tcPr>
          <w:p w:rsidR="00001346" w:rsidRDefault="00001346" w:rsidP="003F2CC2">
            <w:pPr>
              <w:jc w:val="center"/>
              <w:rPr>
                <w:b/>
                <w:spacing w:val="-3"/>
              </w:rPr>
            </w:pPr>
            <w:r>
              <w:rPr>
                <w:b/>
                <w:spacing w:val="-3"/>
              </w:rPr>
              <w:t>University „Džemal Bijedić“ of Mostar</w:t>
            </w:r>
          </w:p>
          <w:p w:rsidR="00001346" w:rsidRPr="00276511" w:rsidRDefault="00001346" w:rsidP="003F2CC2">
            <w:pPr>
              <w:jc w:val="center"/>
              <w:rPr>
                <w:b/>
                <w:spacing w:val="-3"/>
              </w:rPr>
            </w:pPr>
            <w:r>
              <w:rPr>
                <w:b/>
                <w:spacing w:val="-3"/>
              </w:rPr>
              <w:t>„Tourism S</w:t>
            </w:r>
            <w:r w:rsidRPr="00BE3840">
              <w:rPr>
                <w:b/>
                <w:spacing w:val="-3"/>
              </w:rPr>
              <w:t>tudy</w:t>
            </w:r>
            <w:r>
              <w:rPr>
                <w:b/>
                <w:spacing w:val="-3"/>
              </w:rPr>
              <w:t>“</w:t>
            </w:r>
          </w:p>
        </w:tc>
      </w:tr>
      <w:tr w:rsidR="00001346" w:rsidRPr="0027558B" w:rsidTr="003F2CC2">
        <w:trPr>
          <w:trHeight w:val="436"/>
        </w:trPr>
        <w:tc>
          <w:tcPr>
            <w:tcW w:w="3313" w:type="dxa"/>
            <w:tcBorders>
              <w:top w:val="doub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Subject title:</w:t>
            </w:r>
          </w:p>
        </w:tc>
        <w:tc>
          <w:tcPr>
            <w:tcW w:w="3761" w:type="dxa"/>
            <w:tcBorders>
              <w:top w:val="double" w:sz="4" w:space="0" w:color="auto"/>
              <w:left w:val="double" w:sz="4" w:space="0" w:color="auto"/>
            </w:tcBorders>
            <w:vAlign w:val="center"/>
          </w:tcPr>
          <w:p w:rsidR="00001346" w:rsidRPr="00542C0B" w:rsidRDefault="00001346" w:rsidP="003F2CC2">
            <w:pPr>
              <w:jc w:val="center"/>
              <w:rPr>
                <w:b/>
                <w:sz w:val="20"/>
                <w:szCs w:val="20"/>
                <w:lang w:val="pl-PL"/>
              </w:rPr>
            </w:pPr>
            <w:r>
              <w:rPr>
                <w:b/>
                <w:sz w:val="20"/>
                <w:szCs w:val="20"/>
                <w:lang w:val="pl-PL"/>
              </w:rPr>
              <w:t>Business Comunication</w:t>
            </w:r>
          </w:p>
        </w:tc>
        <w:tc>
          <w:tcPr>
            <w:tcW w:w="3213" w:type="dxa"/>
            <w:tcBorders>
              <w:top w:val="double" w:sz="4" w:space="0" w:color="auto"/>
            </w:tcBorders>
            <w:vAlign w:val="center"/>
          </w:tcPr>
          <w:p w:rsidR="00001346" w:rsidRPr="00542C0B" w:rsidRDefault="00001346" w:rsidP="003F2CC2">
            <w:pPr>
              <w:pStyle w:val="Heading1"/>
              <w:jc w:val="center"/>
              <w:rPr>
                <w:b w:val="0"/>
                <w:sz w:val="20"/>
                <w:szCs w:val="20"/>
              </w:rPr>
            </w:pPr>
            <w:r w:rsidRPr="00BE3840">
              <w:rPr>
                <w:b w:val="0"/>
                <w:sz w:val="20"/>
                <w:szCs w:val="20"/>
              </w:rPr>
              <w:t>Item Code:</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F63654">
              <w:rPr>
                <w:b/>
                <w:sz w:val="20"/>
                <w:szCs w:val="20"/>
              </w:rPr>
              <w:t>Cycle level, years of study, semester</w:t>
            </w:r>
          </w:p>
        </w:tc>
        <w:tc>
          <w:tcPr>
            <w:tcW w:w="3761" w:type="dxa"/>
            <w:tcBorders>
              <w:left w:val="double" w:sz="4" w:space="0" w:color="auto"/>
            </w:tcBorders>
            <w:vAlign w:val="center"/>
          </w:tcPr>
          <w:p w:rsidR="00001346" w:rsidRPr="00542C0B" w:rsidRDefault="00001346" w:rsidP="003F2CC2">
            <w:pPr>
              <w:jc w:val="center"/>
              <w:rPr>
                <w:sz w:val="20"/>
                <w:szCs w:val="20"/>
              </w:rPr>
            </w:pPr>
            <w:r>
              <w:rPr>
                <w:sz w:val="20"/>
                <w:szCs w:val="20"/>
              </w:rPr>
              <w:t>I cycle</w:t>
            </w:r>
          </w:p>
        </w:tc>
        <w:tc>
          <w:tcPr>
            <w:tcW w:w="3213" w:type="dxa"/>
            <w:vAlign w:val="center"/>
          </w:tcPr>
          <w:p w:rsidR="00001346" w:rsidRPr="00542C0B" w:rsidRDefault="00001346" w:rsidP="003F2CC2">
            <w:pPr>
              <w:jc w:val="center"/>
              <w:rPr>
                <w:sz w:val="20"/>
                <w:szCs w:val="20"/>
              </w:rPr>
            </w:pPr>
            <w:r w:rsidRPr="00F63654">
              <w:rPr>
                <w:sz w:val="20"/>
                <w:szCs w:val="20"/>
              </w:rPr>
              <w:t>First year / Semester I</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L</w:t>
            </w:r>
            <w:r w:rsidRPr="00001346">
              <w:rPr>
                <w:b/>
                <w:sz w:val="20"/>
                <w:szCs w:val="20"/>
              </w:rPr>
              <w:t>ecturer on the subject</w:t>
            </w:r>
            <w:r w:rsidRPr="00276511">
              <w:rPr>
                <w:b/>
                <w:sz w:val="20"/>
                <w:szCs w:val="20"/>
              </w:rPr>
              <w:t>:</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F63654">
              <w:rPr>
                <w:b/>
                <w:sz w:val="20"/>
                <w:szCs w:val="20"/>
              </w:rPr>
              <w:t>Contact details:</w:t>
            </w:r>
          </w:p>
        </w:tc>
        <w:tc>
          <w:tcPr>
            <w:tcW w:w="6974" w:type="dxa"/>
            <w:gridSpan w:val="2"/>
            <w:tcBorders>
              <w:left w:val="double" w:sz="4" w:space="0" w:color="auto"/>
            </w:tcBorders>
            <w:vAlign w:val="center"/>
          </w:tcPr>
          <w:p w:rsidR="00001346" w:rsidRPr="003C57FB" w:rsidRDefault="00001346" w:rsidP="003F2CC2">
            <w:pPr>
              <w:rPr>
                <w:spacing w:val="-3"/>
                <w:sz w:val="20"/>
                <w:szCs w:val="20"/>
              </w:rPr>
            </w:pPr>
            <w:bookmarkStart w:id="0" w:name="_GoBack"/>
            <w:bookmarkEnd w:id="0"/>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F63654">
              <w:rPr>
                <w:b/>
                <w:sz w:val="20"/>
                <w:szCs w:val="20"/>
              </w:rPr>
              <w:t>Total number of subject hours:</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60 (30+30)</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Credit value</w:t>
            </w:r>
            <w:r w:rsidRPr="00276511">
              <w:rPr>
                <w:b/>
                <w:sz w:val="20"/>
                <w:szCs w:val="20"/>
              </w:rPr>
              <w:t xml:space="preserve"> ECTS-a:</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5 ECTS</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Basic</w:t>
            </w:r>
            <w:r w:rsidRPr="00F63654">
              <w:rPr>
                <w:b/>
                <w:sz w:val="20"/>
                <w:szCs w:val="20"/>
              </w:rPr>
              <w:t xml:space="preserve"> Qualification</w:t>
            </w:r>
            <w:r>
              <w:rPr>
                <w:b/>
                <w:sz w:val="20"/>
                <w:szCs w:val="20"/>
              </w:rPr>
              <w:t>:</w:t>
            </w:r>
          </w:p>
        </w:tc>
        <w:tc>
          <w:tcPr>
            <w:tcW w:w="6974" w:type="dxa"/>
            <w:gridSpan w:val="2"/>
            <w:tcBorders>
              <w:left w:val="double" w:sz="4" w:space="0" w:color="auto"/>
            </w:tcBorders>
            <w:vAlign w:val="center"/>
          </w:tcPr>
          <w:p w:rsidR="00001346" w:rsidRPr="003C57FB" w:rsidRDefault="00001346" w:rsidP="00001346">
            <w:pPr>
              <w:numPr>
                <w:ilvl w:val="0"/>
                <w:numId w:val="2"/>
              </w:numPr>
              <w:jc w:val="center"/>
              <w:rPr>
                <w:sz w:val="20"/>
                <w:szCs w:val="20"/>
              </w:rPr>
            </w:pP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Subject s</w:t>
            </w:r>
            <w:r w:rsidRPr="00276511">
              <w:rPr>
                <w:b/>
                <w:sz w:val="20"/>
                <w:szCs w:val="20"/>
              </w:rPr>
              <w:t>tatus:</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Mandatory</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Preliminary Examination Obligations</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Access limitations on the subject:</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E</w:t>
            </w:r>
            <w:r w:rsidRPr="00DA0034">
              <w:rPr>
                <w:b/>
                <w:sz w:val="20"/>
                <w:szCs w:val="20"/>
              </w:rPr>
              <w:t>xplanation</w:t>
            </w:r>
            <w:r>
              <w:rPr>
                <w:b/>
                <w:sz w:val="20"/>
                <w:szCs w:val="20"/>
              </w:rPr>
              <w:t xml:space="preserve"> of ECTS value:</w:t>
            </w:r>
          </w:p>
        </w:tc>
        <w:tc>
          <w:tcPr>
            <w:tcW w:w="6974" w:type="dxa"/>
            <w:gridSpan w:val="2"/>
            <w:tcBorders>
              <w:left w:val="double" w:sz="4" w:space="0" w:color="auto"/>
            </w:tcBorders>
            <w:vAlign w:val="center"/>
          </w:tcPr>
          <w:p w:rsidR="00001346" w:rsidRPr="00276511" w:rsidRDefault="00001346" w:rsidP="003F2CC2">
            <w:pPr>
              <w:jc w:val="center"/>
              <w:rPr>
                <w:sz w:val="20"/>
                <w:szCs w:val="20"/>
              </w:rPr>
            </w:pPr>
            <w:r>
              <w:rPr>
                <w:sz w:val="20"/>
                <w:szCs w:val="20"/>
              </w:rPr>
              <w:t>-</w:t>
            </w:r>
          </w:p>
        </w:tc>
      </w:tr>
      <w:tr w:rsidR="00001346" w:rsidRPr="003526D2"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DA0034" w:rsidRDefault="00001346" w:rsidP="003F2CC2">
            <w:pPr>
              <w:jc w:val="center"/>
              <w:rPr>
                <w:b/>
                <w:sz w:val="20"/>
                <w:szCs w:val="20"/>
              </w:rPr>
            </w:pPr>
            <w:r>
              <w:rPr>
                <w:b/>
                <w:sz w:val="20"/>
                <w:szCs w:val="20"/>
              </w:rPr>
              <w:t>Subject</w:t>
            </w:r>
            <w:r w:rsidRPr="00DA0034">
              <w:rPr>
                <w:b/>
                <w:sz w:val="20"/>
                <w:szCs w:val="20"/>
              </w:rPr>
              <w:t xml:space="preserve"> goal:</w:t>
            </w:r>
          </w:p>
        </w:tc>
        <w:tc>
          <w:tcPr>
            <w:tcW w:w="6974" w:type="dxa"/>
            <w:gridSpan w:val="2"/>
            <w:tcBorders>
              <w:left w:val="double" w:sz="4" w:space="0" w:color="auto"/>
            </w:tcBorders>
          </w:tcPr>
          <w:p w:rsidR="00001346" w:rsidRPr="00AD5D0E" w:rsidRDefault="00001346" w:rsidP="003F2CC2">
            <w:pPr>
              <w:autoSpaceDE w:val="0"/>
              <w:autoSpaceDN w:val="0"/>
              <w:adjustRightInd w:val="0"/>
              <w:rPr>
                <w:rFonts w:ascii="TimesNewRomanPSMT" w:hAnsi="TimesNewRomanPSMT" w:cs="TimesNewRomanPSMT"/>
                <w:sz w:val="20"/>
                <w:szCs w:val="20"/>
                <w:lang w:eastAsia="bs-Latn-BA"/>
              </w:rPr>
            </w:pPr>
            <w:r w:rsidRPr="00E05C98">
              <w:rPr>
                <w:rFonts w:ascii="TimesNewRomanPSMT" w:hAnsi="TimesNewRomanPSMT" w:cs="TimesNewRomanPSMT"/>
                <w:sz w:val="20"/>
                <w:szCs w:val="20"/>
                <w:lang w:eastAsia="bs-Latn-BA"/>
              </w:rPr>
              <w:t>Explain the strategy, system, elements and goals of communication. Analyze communication practices in tourism organizations. Link ways of communicating an organization with ethnic culture as well as the organization's ideology. Point to the role of language as a social activity. Offer students skills development models in their own business communication. Encourage students to move on to the use and creation of new (synergistic) forms of knowledge in tourism</w:t>
            </w:r>
            <w:r>
              <w:rPr>
                <w:rFonts w:ascii="TimesNewRomanPSMT" w:hAnsi="TimesNewRomanPSMT" w:cs="TimesNewRomanPSMT"/>
                <w:sz w:val="20"/>
                <w:szCs w:val="20"/>
                <w:lang w:eastAsia="bs-Latn-BA"/>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AB4219" w:rsidRDefault="00001346" w:rsidP="003F2CC2">
            <w:pPr>
              <w:jc w:val="center"/>
              <w:rPr>
                <w:b/>
                <w:sz w:val="20"/>
                <w:szCs w:val="20"/>
                <w:highlight w:val="yellow"/>
              </w:rPr>
            </w:pPr>
            <w:r w:rsidRPr="00DA0034">
              <w:rPr>
                <w:b/>
                <w:sz w:val="20"/>
                <w:szCs w:val="20"/>
              </w:rPr>
              <w:t>Description of general and specific competences (knowledge and skills) / learning outcomes</w:t>
            </w:r>
          </w:p>
        </w:tc>
        <w:tc>
          <w:tcPr>
            <w:tcW w:w="6974" w:type="dxa"/>
            <w:gridSpan w:val="2"/>
            <w:tcBorders>
              <w:left w:val="double" w:sz="4" w:space="0" w:color="auto"/>
            </w:tcBorders>
            <w:vAlign w:val="center"/>
          </w:tcPr>
          <w:p w:rsidR="00001346" w:rsidRPr="00AD5D0E" w:rsidRDefault="00001346" w:rsidP="003F2CC2">
            <w:pPr>
              <w:autoSpaceDE w:val="0"/>
              <w:autoSpaceDN w:val="0"/>
              <w:adjustRightInd w:val="0"/>
              <w:rPr>
                <w:sz w:val="20"/>
                <w:szCs w:val="20"/>
                <w:lang w:eastAsia="bs-Latn-BA"/>
              </w:rPr>
            </w:pPr>
            <w:r>
              <w:rPr>
                <w:sz w:val="20"/>
                <w:szCs w:val="20"/>
                <w:lang w:eastAsia="bs-Latn-BA"/>
              </w:rPr>
              <w:t>A</w:t>
            </w:r>
            <w:r w:rsidRPr="00E05C98">
              <w:rPr>
                <w:sz w:val="20"/>
                <w:szCs w:val="20"/>
                <w:lang w:eastAsia="bs-Latn-BA"/>
              </w:rPr>
              <w:t>cquiring the necessary knowledge and skills from important applied areas of business ethics such as: defining the notion of ethics and morality, describing ethical theories and principles, and analyzing the human rights of different generations</w:t>
            </w:r>
            <w:r>
              <w:rPr>
                <w:sz w:val="20"/>
                <w:szCs w:val="20"/>
                <w:lang w:eastAsia="bs-Latn-BA"/>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Course content:</w:t>
            </w:r>
          </w:p>
        </w:tc>
        <w:tc>
          <w:tcPr>
            <w:tcW w:w="6974" w:type="dxa"/>
            <w:gridSpan w:val="2"/>
            <w:tcBorders>
              <w:left w:val="double" w:sz="4" w:space="0" w:color="auto"/>
            </w:tcBorders>
          </w:tcPr>
          <w:p w:rsidR="00001346" w:rsidRPr="00E05C98" w:rsidRDefault="00001346" w:rsidP="003F2CC2">
            <w:pPr>
              <w:ind w:left="720"/>
              <w:jc w:val="both"/>
              <w:rPr>
                <w:noProof/>
                <w:sz w:val="20"/>
                <w:szCs w:val="20"/>
              </w:rPr>
            </w:pPr>
            <w:r w:rsidRPr="00E05C98">
              <w:rPr>
                <w:noProof/>
                <w:sz w:val="20"/>
                <w:szCs w:val="20"/>
              </w:rPr>
              <w:t>1. Concept and types of business communication</w:t>
            </w:r>
          </w:p>
          <w:p w:rsidR="00001346" w:rsidRPr="00E05C98" w:rsidRDefault="00001346" w:rsidP="003F2CC2">
            <w:pPr>
              <w:ind w:left="720"/>
              <w:jc w:val="both"/>
              <w:rPr>
                <w:noProof/>
                <w:sz w:val="20"/>
                <w:szCs w:val="20"/>
              </w:rPr>
            </w:pPr>
            <w:r w:rsidRPr="00E05C98">
              <w:rPr>
                <w:noProof/>
                <w:sz w:val="20"/>
                <w:szCs w:val="20"/>
              </w:rPr>
              <w:t>2. Characteristics of communication in tourism</w:t>
            </w:r>
          </w:p>
          <w:p w:rsidR="00001346" w:rsidRPr="00E05C98" w:rsidRDefault="00001346" w:rsidP="003F2CC2">
            <w:pPr>
              <w:ind w:left="720"/>
              <w:jc w:val="both"/>
              <w:rPr>
                <w:noProof/>
                <w:sz w:val="20"/>
                <w:szCs w:val="20"/>
              </w:rPr>
            </w:pPr>
            <w:r w:rsidRPr="00E05C98">
              <w:rPr>
                <w:noProof/>
                <w:sz w:val="20"/>
                <w:szCs w:val="20"/>
              </w:rPr>
              <w:t>3. The Role, Importance and Activity of Communication Manager Organizations</w:t>
            </w:r>
          </w:p>
          <w:p w:rsidR="00001346" w:rsidRPr="00E05C98" w:rsidRDefault="00001346" w:rsidP="003F2CC2">
            <w:pPr>
              <w:ind w:left="720"/>
              <w:jc w:val="both"/>
              <w:rPr>
                <w:noProof/>
                <w:sz w:val="20"/>
                <w:szCs w:val="20"/>
              </w:rPr>
            </w:pPr>
            <w:r w:rsidRPr="00E05C98">
              <w:rPr>
                <w:noProof/>
                <w:sz w:val="20"/>
                <w:szCs w:val="20"/>
              </w:rPr>
              <w:t>4. Analysis of the communication of bh tourist destinations</w:t>
            </w:r>
          </w:p>
          <w:p w:rsidR="00001346" w:rsidRPr="00E05C98" w:rsidRDefault="00001346" w:rsidP="003F2CC2">
            <w:pPr>
              <w:ind w:left="720"/>
              <w:jc w:val="both"/>
              <w:rPr>
                <w:noProof/>
                <w:sz w:val="20"/>
                <w:szCs w:val="20"/>
              </w:rPr>
            </w:pPr>
            <w:r w:rsidRPr="00E05C98">
              <w:rPr>
                <w:noProof/>
                <w:sz w:val="20"/>
                <w:szCs w:val="20"/>
              </w:rPr>
              <w:t>5. Comparison with the communication of the world's leading destinations</w:t>
            </w:r>
          </w:p>
          <w:p w:rsidR="00001346" w:rsidRPr="00E05C98" w:rsidRDefault="00001346" w:rsidP="003F2CC2">
            <w:pPr>
              <w:ind w:left="720"/>
              <w:jc w:val="both"/>
              <w:rPr>
                <w:noProof/>
                <w:sz w:val="20"/>
                <w:szCs w:val="20"/>
              </w:rPr>
            </w:pPr>
            <w:r w:rsidRPr="00E05C98">
              <w:rPr>
                <w:noProof/>
                <w:sz w:val="20"/>
                <w:szCs w:val="20"/>
              </w:rPr>
              <w:t>6. Communication of destinations and cultures</w:t>
            </w:r>
          </w:p>
          <w:p w:rsidR="00001346" w:rsidRPr="00E05C98" w:rsidRDefault="00001346" w:rsidP="003F2CC2">
            <w:pPr>
              <w:ind w:left="720"/>
              <w:jc w:val="both"/>
              <w:rPr>
                <w:noProof/>
                <w:sz w:val="20"/>
                <w:szCs w:val="20"/>
              </w:rPr>
            </w:pPr>
            <w:r w:rsidRPr="00E05C98">
              <w:rPr>
                <w:noProof/>
                <w:sz w:val="20"/>
                <w:szCs w:val="20"/>
              </w:rPr>
              <w:t xml:space="preserve">7. Media </w:t>
            </w:r>
            <w:r>
              <w:rPr>
                <w:noProof/>
                <w:sz w:val="20"/>
                <w:szCs w:val="20"/>
              </w:rPr>
              <w:t xml:space="preserve">of </w:t>
            </w:r>
            <w:r w:rsidRPr="00E05C98">
              <w:rPr>
                <w:noProof/>
                <w:sz w:val="20"/>
                <w:szCs w:val="20"/>
              </w:rPr>
              <w:t xml:space="preserve">Communication </w:t>
            </w:r>
            <w:r>
              <w:rPr>
                <w:noProof/>
                <w:sz w:val="20"/>
                <w:szCs w:val="20"/>
              </w:rPr>
              <w:t>Destination</w:t>
            </w:r>
          </w:p>
          <w:p w:rsidR="00001346" w:rsidRPr="00E05C98" w:rsidRDefault="00001346" w:rsidP="003F2CC2">
            <w:pPr>
              <w:ind w:left="720"/>
              <w:jc w:val="both"/>
              <w:rPr>
                <w:noProof/>
                <w:sz w:val="20"/>
                <w:szCs w:val="20"/>
              </w:rPr>
            </w:pPr>
            <w:r w:rsidRPr="00E05C98">
              <w:rPr>
                <w:noProof/>
                <w:sz w:val="20"/>
                <w:szCs w:val="20"/>
              </w:rPr>
              <w:t>8. Language registers</w:t>
            </w:r>
          </w:p>
          <w:p w:rsidR="00001346" w:rsidRPr="00E05C98" w:rsidRDefault="00001346" w:rsidP="003F2CC2">
            <w:pPr>
              <w:ind w:left="720"/>
              <w:jc w:val="both"/>
              <w:rPr>
                <w:noProof/>
                <w:sz w:val="20"/>
                <w:szCs w:val="20"/>
              </w:rPr>
            </w:pPr>
            <w:r w:rsidRPr="00E05C98">
              <w:rPr>
                <w:noProof/>
                <w:sz w:val="20"/>
                <w:szCs w:val="20"/>
              </w:rPr>
              <w:t>9. Verbal and visual communication techniques</w:t>
            </w:r>
          </w:p>
          <w:p w:rsidR="00001346" w:rsidRPr="00B12133" w:rsidRDefault="00001346" w:rsidP="003F2CC2">
            <w:pPr>
              <w:ind w:left="360"/>
              <w:jc w:val="both"/>
              <w:rPr>
                <w:b/>
                <w:iCs/>
                <w:sz w:val="20"/>
                <w:szCs w:val="20"/>
              </w:rPr>
            </w:pPr>
            <w:r>
              <w:rPr>
                <w:noProof/>
                <w:sz w:val="20"/>
                <w:szCs w:val="20"/>
              </w:rPr>
              <w:t xml:space="preserve">     10.</w:t>
            </w:r>
            <w:r w:rsidRPr="00E05C98">
              <w:rPr>
                <w:noProof/>
                <w:sz w:val="20"/>
                <w:szCs w:val="20"/>
              </w:rPr>
              <w:t xml:space="preserve"> Communication of the destination as a process of social control</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Teaching methods / learning methods:</w:t>
            </w:r>
          </w:p>
        </w:tc>
        <w:tc>
          <w:tcPr>
            <w:tcW w:w="6974" w:type="dxa"/>
            <w:gridSpan w:val="2"/>
            <w:tcBorders>
              <w:left w:val="double" w:sz="4" w:space="0" w:color="auto"/>
            </w:tcBorders>
            <w:vAlign w:val="center"/>
          </w:tcPr>
          <w:p w:rsidR="00001346" w:rsidRPr="00227520" w:rsidRDefault="00001346" w:rsidP="003F2CC2">
            <w:pPr>
              <w:jc w:val="both"/>
              <w:rPr>
                <w:sz w:val="20"/>
                <w:szCs w:val="20"/>
              </w:rPr>
            </w:pPr>
            <w:r w:rsidRPr="00E05C98">
              <w:rPr>
                <w:sz w:val="20"/>
                <w:szCs w:val="20"/>
              </w:rPr>
              <w:t>Ex cathedra, discussion, presentations, guest lecturer</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Other Student Obligations (if Predicted):</w:t>
            </w:r>
          </w:p>
        </w:tc>
        <w:tc>
          <w:tcPr>
            <w:tcW w:w="6974" w:type="dxa"/>
            <w:gridSpan w:val="2"/>
            <w:tcBorders>
              <w:left w:val="double" w:sz="4" w:space="0" w:color="auto"/>
            </w:tcBorders>
            <w:vAlign w:val="center"/>
          </w:tcPr>
          <w:p w:rsidR="00001346" w:rsidRPr="00227520" w:rsidRDefault="00001346" w:rsidP="003F2CC2">
            <w:pPr>
              <w:jc w:val="center"/>
              <w:rPr>
                <w:spacing w:val="-3"/>
                <w:sz w:val="20"/>
                <w:szCs w:val="20"/>
              </w:rPr>
            </w:pPr>
            <w:r w:rsidRPr="00227520">
              <w:rPr>
                <w:spacing w:val="-3"/>
                <w:sz w:val="20"/>
                <w:szCs w:val="20"/>
              </w:rPr>
              <w:t>N</w:t>
            </w:r>
            <w:r>
              <w:rPr>
                <w:spacing w:val="-3"/>
                <w:sz w:val="20"/>
                <w:szCs w:val="20"/>
              </w:rPr>
              <w:t>o</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Assessment Methods / Methods of Examination</w:t>
            </w:r>
          </w:p>
        </w:tc>
        <w:tc>
          <w:tcPr>
            <w:tcW w:w="6974" w:type="dxa"/>
            <w:gridSpan w:val="2"/>
            <w:tcBorders>
              <w:left w:val="double" w:sz="4" w:space="0" w:color="auto"/>
            </w:tcBorders>
            <w:vAlign w:val="center"/>
          </w:tcPr>
          <w:p w:rsidR="00001346" w:rsidRPr="00D62E29" w:rsidRDefault="00001346" w:rsidP="003F2CC2">
            <w:pPr>
              <w:jc w:val="both"/>
              <w:rPr>
                <w:sz w:val="20"/>
                <w:szCs w:val="20"/>
              </w:rPr>
            </w:pPr>
            <w:r w:rsidRPr="00D62E29">
              <w:rPr>
                <w:sz w:val="20"/>
                <w:szCs w:val="20"/>
              </w:rPr>
              <w:t xml:space="preserve">1. </w:t>
            </w:r>
            <w:r w:rsidRPr="00E05C98">
              <w:rPr>
                <w:sz w:val="20"/>
                <w:szCs w:val="20"/>
              </w:rPr>
              <w:t>attendance at classes</w:t>
            </w:r>
            <w:r>
              <w:rPr>
                <w:sz w:val="20"/>
                <w:szCs w:val="20"/>
              </w:rPr>
              <w:t xml:space="preserve">                                             </w:t>
            </w:r>
            <w:r w:rsidRPr="00E05C98">
              <w:rPr>
                <w:sz w:val="20"/>
                <w:szCs w:val="20"/>
              </w:rPr>
              <w:t xml:space="preserve"> </w:t>
            </w:r>
            <w:r w:rsidRPr="00D62E29">
              <w:rPr>
                <w:sz w:val="20"/>
                <w:szCs w:val="20"/>
              </w:rPr>
              <w:t>- 10%</w:t>
            </w:r>
          </w:p>
          <w:p w:rsidR="00001346" w:rsidRPr="00D62E29" w:rsidRDefault="00001346" w:rsidP="003F2CC2">
            <w:pPr>
              <w:jc w:val="both"/>
              <w:rPr>
                <w:sz w:val="20"/>
                <w:szCs w:val="20"/>
              </w:rPr>
            </w:pPr>
            <w:r w:rsidRPr="00D62E29">
              <w:rPr>
                <w:sz w:val="20"/>
                <w:szCs w:val="20"/>
              </w:rPr>
              <w:t xml:space="preserve">2. </w:t>
            </w:r>
            <w:r w:rsidRPr="00E05C98">
              <w:rPr>
                <w:sz w:val="20"/>
                <w:szCs w:val="20"/>
              </w:rPr>
              <w:t xml:space="preserve">teamwork, case study, presentation </w:t>
            </w:r>
            <w:r>
              <w:rPr>
                <w:sz w:val="20"/>
                <w:szCs w:val="20"/>
              </w:rPr>
              <w:t xml:space="preserve">                       - 40</w:t>
            </w:r>
            <w:r w:rsidRPr="00D62E29">
              <w:rPr>
                <w:sz w:val="20"/>
                <w:szCs w:val="20"/>
              </w:rPr>
              <w:t>%</w:t>
            </w:r>
          </w:p>
          <w:p w:rsidR="00001346" w:rsidRPr="00227520" w:rsidRDefault="00001346" w:rsidP="003F2CC2">
            <w:pPr>
              <w:jc w:val="both"/>
              <w:rPr>
                <w:sz w:val="20"/>
                <w:szCs w:val="20"/>
              </w:rPr>
            </w:pPr>
            <w:r w:rsidRPr="00D62E29">
              <w:rPr>
                <w:sz w:val="20"/>
                <w:szCs w:val="20"/>
              </w:rPr>
              <w:t xml:space="preserve">3. </w:t>
            </w:r>
            <w:r>
              <w:rPr>
                <w:sz w:val="20"/>
                <w:szCs w:val="20"/>
              </w:rPr>
              <w:t>final</w:t>
            </w:r>
            <w:r w:rsidRPr="00D62E29">
              <w:rPr>
                <w:sz w:val="20"/>
                <w:szCs w:val="20"/>
              </w:rPr>
              <w:t xml:space="preserve"> test             </w:t>
            </w:r>
            <w:r>
              <w:rPr>
                <w:sz w:val="20"/>
                <w:szCs w:val="20"/>
              </w:rPr>
              <w:t xml:space="preserve">                                                    -</w:t>
            </w:r>
            <w:r w:rsidRPr="00D62E29">
              <w:rPr>
                <w:sz w:val="20"/>
                <w:szCs w:val="20"/>
              </w:rPr>
              <w:t xml:space="preserve"> 50%</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DA0034" w:rsidRDefault="00001346" w:rsidP="003F2CC2">
            <w:pPr>
              <w:jc w:val="center"/>
              <w:rPr>
                <w:b/>
                <w:sz w:val="20"/>
                <w:szCs w:val="20"/>
              </w:rPr>
            </w:pPr>
            <w:r w:rsidRPr="00DA0034">
              <w:rPr>
                <w:b/>
                <w:sz w:val="20"/>
                <w:szCs w:val="20"/>
              </w:rPr>
              <w:t>List of basic litera</w:t>
            </w:r>
            <w:r>
              <w:rPr>
                <w:b/>
                <w:sz w:val="20"/>
                <w:szCs w:val="20"/>
              </w:rPr>
              <w:t>ture and</w:t>
            </w:r>
          </w:p>
          <w:p w:rsidR="00001346" w:rsidRPr="00276511" w:rsidRDefault="00001346" w:rsidP="003F2CC2">
            <w:pPr>
              <w:jc w:val="center"/>
              <w:rPr>
                <w:b/>
                <w:sz w:val="20"/>
                <w:szCs w:val="20"/>
              </w:rPr>
            </w:pPr>
            <w:r w:rsidRPr="00DA0034">
              <w:rPr>
                <w:b/>
                <w:sz w:val="20"/>
                <w:szCs w:val="20"/>
              </w:rPr>
              <w:t>Internet web references:</w:t>
            </w:r>
          </w:p>
        </w:tc>
        <w:tc>
          <w:tcPr>
            <w:tcW w:w="6974" w:type="dxa"/>
            <w:gridSpan w:val="2"/>
            <w:tcBorders>
              <w:left w:val="double" w:sz="4" w:space="0" w:color="auto"/>
            </w:tcBorders>
          </w:tcPr>
          <w:p w:rsidR="00001346" w:rsidRDefault="00001346" w:rsidP="00001346">
            <w:pPr>
              <w:pStyle w:val="EndnoteText"/>
              <w:numPr>
                <w:ilvl w:val="0"/>
                <w:numId w:val="3"/>
              </w:numPr>
              <w:jc w:val="both"/>
            </w:pPr>
            <w:r w:rsidRPr="00E05C98">
              <w:t>Lecture materials</w:t>
            </w:r>
          </w:p>
          <w:p w:rsidR="00001346" w:rsidRDefault="00001346" w:rsidP="00001346">
            <w:pPr>
              <w:pStyle w:val="EndnoteText"/>
              <w:numPr>
                <w:ilvl w:val="0"/>
                <w:numId w:val="3"/>
              </w:numPr>
              <w:jc w:val="both"/>
            </w:pPr>
            <w:r>
              <w:t>Fox, R. „Business Communication“, Hrvatska sveučilišna naklada Zagreb, Zagreb,2006.</w:t>
            </w:r>
          </w:p>
          <w:p w:rsidR="00001346" w:rsidRPr="004905A6" w:rsidRDefault="00001346" w:rsidP="00001346">
            <w:pPr>
              <w:pStyle w:val="EndnoteText"/>
              <w:numPr>
                <w:ilvl w:val="0"/>
                <w:numId w:val="3"/>
              </w:numPr>
              <w:jc w:val="both"/>
            </w:pPr>
            <w:r>
              <w:t xml:space="preserve">Kotler. P., Bowen J. T., </w:t>
            </w:r>
            <w:r w:rsidRPr="00E05C98">
              <w:t>Marketing in hospitality, hotel industry and tourism</w:t>
            </w:r>
            <w:r>
              <w:t>“, MATE Zagreb, Zagreb, 2010.</w:t>
            </w:r>
          </w:p>
        </w:tc>
      </w:tr>
      <w:tr w:rsidR="00001346" w:rsidRPr="0027558B" w:rsidTr="003F2CC2">
        <w:tc>
          <w:tcPr>
            <w:tcW w:w="3313" w:type="dxa"/>
            <w:tcBorders>
              <w:top w:val="single" w:sz="4" w:space="0" w:color="auto"/>
              <w:bottom w:val="doub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 xml:space="preserve">Quality </w:t>
            </w:r>
            <w:r w:rsidRPr="00E05C98">
              <w:rPr>
                <w:b/>
                <w:sz w:val="20"/>
                <w:szCs w:val="20"/>
              </w:rPr>
              <w:t>assurance and performance of the subjec</w:t>
            </w:r>
            <w:r>
              <w:rPr>
                <w:b/>
                <w:sz w:val="20"/>
                <w:szCs w:val="20"/>
              </w:rPr>
              <w:t>t</w:t>
            </w:r>
          </w:p>
        </w:tc>
        <w:tc>
          <w:tcPr>
            <w:tcW w:w="6974" w:type="dxa"/>
            <w:gridSpan w:val="2"/>
            <w:tcBorders>
              <w:left w:val="double" w:sz="4" w:space="0" w:color="auto"/>
            </w:tcBorders>
            <w:vAlign w:val="center"/>
          </w:tcPr>
          <w:p w:rsidR="00001346" w:rsidRPr="004905A6" w:rsidRDefault="00001346" w:rsidP="003F2CC2">
            <w:pPr>
              <w:jc w:val="center"/>
              <w:rPr>
                <w:sz w:val="20"/>
                <w:szCs w:val="20"/>
              </w:rPr>
            </w:pPr>
            <w:r w:rsidRPr="00E05C98">
              <w:rPr>
                <w:sz w:val="20"/>
                <w:szCs w:val="20"/>
              </w:rPr>
              <w:t>An anonymous survey among students on the performance of teaching.</w:t>
            </w:r>
          </w:p>
        </w:tc>
      </w:tr>
    </w:tbl>
    <w:p w:rsidR="00B17AF8" w:rsidRDefault="00B17AF8" w:rsidP="00001346"/>
    <w:sectPr w:rsidR="00B17AF8" w:rsidSect="00EF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F70A6"/>
    <w:multiLevelType w:val="hybridMultilevel"/>
    <w:tmpl w:val="2F06730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65422F3"/>
    <w:multiLevelType w:val="hybridMultilevel"/>
    <w:tmpl w:val="538EC5C4"/>
    <w:lvl w:ilvl="0" w:tplc="8ACADFC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7B554C5A"/>
    <w:multiLevelType w:val="hybridMultilevel"/>
    <w:tmpl w:val="90103A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B2"/>
    <w:rsid w:val="00001346"/>
    <w:rsid w:val="00417678"/>
    <w:rsid w:val="005318CF"/>
    <w:rsid w:val="00773CB2"/>
    <w:rsid w:val="00995986"/>
    <w:rsid w:val="00A26319"/>
    <w:rsid w:val="00B17AF8"/>
    <w:rsid w:val="00CC47E5"/>
    <w:rsid w:val="00D30EF7"/>
    <w:rsid w:val="00DA4158"/>
    <w:rsid w:val="00E90AE3"/>
    <w:rsid w:val="00EF3CE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4B92A-901D-470F-AF94-332BEF6F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1346"/>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B2"/>
    <w:pPr>
      <w:ind w:left="720"/>
      <w:contextualSpacing/>
    </w:pPr>
  </w:style>
  <w:style w:type="character" w:customStyle="1" w:styleId="Heading1Char">
    <w:name w:val="Heading 1 Char"/>
    <w:basedOn w:val="DefaultParagraphFont"/>
    <w:link w:val="Heading1"/>
    <w:rsid w:val="00001346"/>
    <w:rPr>
      <w:rFonts w:ascii="Times New Roman" w:eastAsia="Times New Roman" w:hAnsi="Times New Roman" w:cs="Times New Roman"/>
      <w:b/>
      <w:bCs/>
      <w:sz w:val="24"/>
      <w:szCs w:val="24"/>
      <w:lang w:val="hr-HR"/>
    </w:rPr>
  </w:style>
  <w:style w:type="paragraph" w:styleId="EndnoteText">
    <w:name w:val="endnote text"/>
    <w:basedOn w:val="Normal"/>
    <w:link w:val="EndnoteTextChar"/>
    <w:semiHidden/>
    <w:rsid w:val="00001346"/>
    <w:rPr>
      <w:sz w:val="20"/>
      <w:szCs w:val="20"/>
      <w:lang w:eastAsia="hr-HR"/>
    </w:rPr>
  </w:style>
  <w:style w:type="character" w:customStyle="1" w:styleId="EndnoteTextChar">
    <w:name w:val="Endnote Text Char"/>
    <w:basedOn w:val="DefaultParagraphFont"/>
    <w:link w:val="EndnoteText"/>
    <w:semiHidden/>
    <w:rsid w:val="00001346"/>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Irma</cp:lastModifiedBy>
  <cp:revision>2</cp:revision>
  <dcterms:created xsi:type="dcterms:W3CDTF">2019-02-23T14:14:00Z</dcterms:created>
  <dcterms:modified xsi:type="dcterms:W3CDTF">2019-02-23T14:14:00Z</dcterms:modified>
</cp:coreProperties>
</file>