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2611"/>
        <w:gridCol w:w="1150"/>
        <w:gridCol w:w="1168"/>
        <w:gridCol w:w="2045"/>
      </w:tblGrid>
      <w:tr w:rsidR="009208B8" w:rsidRPr="00100FEC" w:rsidTr="00271525">
        <w:trPr>
          <w:trHeight w:val="524"/>
          <w:jc w:val="center"/>
        </w:trPr>
        <w:tc>
          <w:tcPr>
            <w:tcW w:w="10287" w:type="dxa"/>
            <w:gridSpan w:val="5"/>
            <w:tcBorders>
              <w:top w:val="double" w:sz="4" w:space="0" w:color="auto"/>
              <w:bottom w:val="double" w:sz="4" w:space="0" w:color="auto"/>
            </w:tcBorders>
            <w:shd w:val="clear" w:color="auto" w:fill="CCCCCC"/>
            <w:vAlign w:val="center"/>
          </w:tcPr>
          <w:p w:rsidR="00100FEC" w:rsidRPr="00100FEC" w:rsidRDefault="00100FEC" w:rsidP="00100FEC">
            <w:pPr>
              <w:keepNext/>
              <w:keepLines/>
              <w:jc w:val="center"/>
              <w:outlineLvl w:val="0"/>
              <w:rPr>
                <w:rFonts w:ascii="Times New Roman" w:eastAsiaTheme="majorEastAsia" w:hAnsi="Times New Roman" w:cs="Times New Roman"/>
                <w:b/>
                <w:bCs/>
                <w:spacing w:val="-3"/>
                <w:sz w:val="20"/>
                <w:szCs w:val="20"/>
                <w:lang w:val="en-GB"/>
              </w:rPr>
            </w:pPr>
            <w:bookmarkStart w:id="0" w:name="_GoBack"/>
            <w:bookmarkEnd w:id="0"/>
            <w:r w:rsidRPr="00100FEC">
              <w:rPr>
                <w:rFonts w:ascii="Times New Roman" w:eastAsiaTheme="majorEastAsia" w:hAnsi="Times New Roman" w:cs="Times New Roman"/>
                <w:b/>
                <w:spacing w:val="-3"/>
                <w:sz w:val="20"/>
                <w:szCs w:val="20"/>
                <w:lang w:val="en-GB"/>
              </w:rPr>
              <w:t>DŽEMAL BIJEDIĆ UNIVERSITY MOSTAR</w:t>
            </w:r>
          </w:p>
          <w:p w:rsidR="009208B8" w:rsidRPr="00100FEC" w:rsidRDefault="00100FEC" w:rsidP="00100FEC">
            <w:pPr>
              <w:spacing w:after="0" w:line="240" w:lineRule="auto"/>
              <w:jc w:val="center"/>
              <w:rPr>
                <w:rFonts w:ascii="Times New Roman" w:hAnsi="Times New Roman" w:cs="Times New Roman"/>
                <w:b/>
                <w:spacing w:val="-3"/>
                <w:sz w:val="20"/>
                <w:szCs w:val="20"/>
                <w:lang w:val="hr-HR"/>
              </w:rPr>
            </w:pPr>
            <w:r w:rsidRPr="00100FEC">
              <w:rPr>
                <w:rFonts w:ascii="Times New Roman" w:hAnsi="Times New Roman" w:cs="Times New Roman"/>
                <w:b/>
                <w:spacing w:val="-3"/>
                <w:sz w:val="20"/>
                <w:szCs w:val="20"/>
                <w:lang w:val="en-GB"/>
              </w:rPr>
              <w:t>TOURISM STUDIES</w:t>
            </w:r>
          </w:p>
        </w:tc>
      </w:tr>
      <w:tr w:rsidR="00100FEC" w:rsidRPr="00100FEC" w:rsidTr="00100FEC">
        <w:trPr>
          <w:trHeight w:val="174"/>
          <w:jc w:val="center"/>
        </w:trPr>
        <w:tc>
          <w:tcPr>
            <w:tcW w:w="3313" w:type="dxa"/>
            <w:tcBorders>
              <w:top w:val="doub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Course title:</w:t>
            </w:r>
          </w:p>
        </w:tc>
        <w:tc>
          <w:tcPr>
            <w:tcW w:w="3761" w:type="dxa"/>
            <w:gridSpan w:val="2"/>
            <w:tcBorders>
              <w:top w:val="double" w:sz="4" w:space="0" w:color="auto"/>
              <w:left w:val="double" w:sz="4" w:space="0" w:color="auto"/>
            </w:tcBorders>
            <w:shd w:val="clear" w:color="auto" w:fill="auto"/>
            <w:vAlign w:val="center"/>
          </w:tcPr>
          <w:p w:rsidR="00100FEC" w:rsidRPr="00100FEC" w:rsidRDefault="00100FEC" w:rsidP="00100FEC">
            <w:pPr>
              <w:pStyle w:val="HTMLPreformatted"/>
              <w:shd w:val="clear" w:color="auto" w:fill="F8F9FA"/>
              <w:rPr>
                <w:rFonts w:ascii="Times New Roman" w:hAnsi="Times New Roman" w:cs="Times New Roman"/>
                <w:b/>
                <w:color w:val="222222"/>
              </w:rPr>
            </w:pPr>
            <w:r w:rsidRPr="00100FEC">
              <w:rPr>
                <w:rFonts w:ascii="Times New Roman" w:hAnsi="Times New Roman" w:cs="Times New Roman"/>
                <w:b/>
                <w:color w:val="222222"/>
              </w:rPr>
              <w:t>INFORMATION-COMMUNICATION TECHNOLOGIES IN TOURISM</w:t>
            </w:r>
          </w:p>
        </w:tc>
        <w:tc>
          <w:tcPr>
            <w:tcW w:w="3213" w:type="dxa"/>
            <w:gridSpan w:val="2"/>
            <w:tcBorders>
              <w:top w:val="double" w:sz="4" w:space="0" w:color="auto"/>
            </w:tcBorders>
            <w:vAlign w:val="center"/>
          </w:tcPr>
          <w:p w:rsidR="00100FEC" w:rsidRPr="00100FEC" w:rsidRDefault="00100FEC" w:rsidP="009208B8">
            <w:pPr>
              <w:keepNext/>
              <w:keepLines/>
              <w:spacing w:after="0" w:line="240" w:lineRule="auto"/>
              <w:jc w:val="center"/>
              <w:outlineLvl w:val="0"/>
              <w:rPr>
                <w:rFonts w:ascii="Times New Roman" w:eastAsiaTheme="majorEastAsia" w:hAnsi="Times New Roman" w:cs="Times New Roman"/>
                <w:b/>
                <w:sz w:val="20"/>
                <w:szCs w:val="20"/>
                <w:lang w:val="hr-HR"/>
              </w:rPr>
            </w:pPr>
            <w:r w:rsidRPr="00100FEC">
              <w:rPr>
                <w:rFonts w:ascii="Times New Roman" w:eastAsiaTheme="majorEastAsia" w:hAnsi="Times New Roman" w:cs="Times New Roman"/>
                <w:b/>
                <w:sz w:val="20"/>
                <w:szCs w:val="20"/>
                <w:lang w:val="hr-HR"/>
              </w:rPr>
              <w:t>Course ID:  ST103</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Study level, year of study, semester</w:t>
            </w:r>
          </w:p>
        </w:tc>
        <w:tc>
          <w:tcPr>
            <w:tcW w:w="3761" w:type="dxa"/>
            <w:gridSpan w:val="2"/>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 xml:space="preserve">First cycle </w:t>
            </w:r>
          </w:p>
        </w:tc>
        <w:tc>
          <w:tcPr>
            <w:tcW w:w="3213" w:type="dxa"/>
            <w:gridSpan w:val="2"/>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year: I / semester: II</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Course instructor:</w:t>
            </w:r>
          </w:p>
        </w:tc>
        <w:tc>
          <w:tcPr>
            <w:tcW w:w="6974" w:type="dxa"/>
            <w:gridSpan w:val="4"/>
            <w:tcBorders>
              <w:left w:val="double" w:sz="4" w:space="0" w:color="auto"/>
            </w:tcBorders>
            <w:vAlign w:val="center"/>
          </w:tcPr>
          <w:p w:rsidR="00100FEC" w:rsidRPr="00100FEC" w:rsidRDefault="000A4D63" w:rsidP="009208B8">
            <w:pPr>
              <w:spacing w:after="0" w:line="240" w:lineRule="auto"/>
              <w:jc w:val="center"/>
              <w:rPr>
                <w:rFonts w:ascii="Times New Roman" w:hAnsi="Times New Roman" w:cs="Times New Roman"/>
                <w:sz w:val="20"/>
                <w:szCs w:val="20"/>
                <w:lang w:val="hr-HR"/>
              </w:rPr>
            </w:pPr>
            <w:r>
              <w:rPr>
                <w:rFonts w:ascii="Times New Roman" w:hAnsi="Times New Roman" w:cs="Times New Roman"/>
                <w:sz w:val="20"/>
                <w:szCs w:val="20"/>
                <w:lang w:val="hr-HR"/>
              </w:rPr>
              <w:t>Associate professor</w:t>
            </w:r>
            <w:r w:rsidR="00100FEC" w:rsidRPr="00100FEC">
              <w:rPr>
                <w:rFonts w:ascii="Times New Roman" w:hAnsi="Times New Roman" w:cs="Times New Roman"/>
                <w:sz w:val="20"/>
                <w:szCs w:val="20"/>
                <w:lang w:val="hr-HR"/>
              </w:rPr>
              <w:t xml:space="preserve"> Muharem Kozić</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Contact details:</w:t>
            </w:r>
          </w:p>
        </w:tc>
        <w:tc>
          <w:tcPr>
            <w:tcW w:w="6974" w:type="dxa"/>
            <w:gridSpan w:val="4"/>
            <w:tcBorders>
              <w:left w:val="double" w:sz="4" w:space="0" w:color="auto"/>
            </w:tcBorders>
            <w:vAlign w:val="center"/>
          </w:tcPr>
          <w:p w:rsidR="00100FEC" w:rsidRPr="00100FEC" w:rsidRDefault="00100FEC" w:rsidP="00D600EC">
            <w:pPr>
              <w:spacing w:after="0" w:line="240" w:lineRule="auto"/>
              <w:rPr>
                <w:rFonts w:ascii="Times New Roman" w:hAnsi="Times New Roman" w:cs="Times New Roman"/>
                <w:spacing w:val="-3"/>
                <w:sz w:val="20"/>
                <w:szCs w:val="20"/>
                <w:lang w:val="hr-HR"/>
              </w:rPr>
            </w:pPr>
            <w:r w:rsidRPr="00100FEC">
              <w:rPr>
                <w:rFonts w:ascii="Times New Roman" w:hAnsi="Times New Roman" w:cs="Times New Roman"/>
                <w:spacing w:val="-3"/>
                <w:sz w:val="20"/>
                <w:szCs w:val="20"/>
                <w:lang w:val="hr-HR"/>
              </w:rPr>
              <w:t xml:space="preserve">Adress:  Ekonomski fakultet Univerziteta „Džemal Bijedić“ u Mostaru,                                        E-mail: muharem.kozic@unmo.ba                                                       Tel.: 036/514- 917                                                                                 </w:t>
            </w:r>
          </w:p>
        </w:tc>
      </w:tr>
      <w:tr w:rsidR="00100FEC" w:rsidRPr="00100FEC" w:rsidTr="00760447">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de-DE"/>
              </w:rPr>
              <w:t>Total number of classes:</w:t>
            </w:r>
          </w:p>
        </w:tc>
        <w:tc>
          <w:tcPr>
            <w:tcW w:w="2611" w:type="dxa"/>
            <w:tcBorders>
              <w:left w:val="double" w:sz="4" w:space="0" w:color="auto"/>
            </w:tcBorders>
            <w:vAlign w:val="center"/>
          </w:tcPr>
          <w:p w:rsidR="00100FEC" w:rsidRPr="00100FEC" w:rsidRDefault="00100FEC" w:rsidP="00650E80">
            <w:pPr>
              <w:rPr>
                <w:rFonts w:ascii="Times New Roman" w:hAnsi="Times New Roman" w:cs="Times New Roman"/>
                <w:sz w:val="20"/>
                <w:szCs w:val="20"/>
                <w:lang w:val="en-GB"/>
              </w:rPr>
            </w:pPr>
            <w:r w:rsidRPr="00100FEC">
              <w:rPr>
                <w:rFonts w:ascii="Times New Roman" w:hAnsi="Times New Roman" w:cs="Times New Roman"/>
                <w:sz w:val="20"/>
                <w:szCs w:val="20"/>
                <w:lang w:val="en-GB"/>
              </w:rPr>
              <w:t>Weekly number of lectures: 2</w:t>
            </w:r>
          </w:p>
        </w:tc>
        <w:tc>
          <w:tcPr>
            <w:tcW w:w="2318" w:type="dxa"/>
            <w:gridSpan w:val="2"/>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Weekly number of exercises: 2</w:t>
            </w:r>
          </w:p>
        </w:tc>
        <w:tc>
          <w:tcPr>
            <w:tcW w:w="2045" w:type="dxa"/>
            <w:vAlign w:val="center"/>
          </w:tcPr>
          <w:p w:rsidR="00100FEC" w:rsidRPr="00100FEC" w:rsidRDefault="00100FEC" w:rsidP="00650E80">
            <w:pPr>
              <w:rPr>
                <w:rFonts w:ascii="Times New Roman" w:hAnsi="Times New Roman" w:cs="Times New Roman"/>
                <w:sz w:val="20"/>
                <w:szCs w:val="20"/>
                <w:lang w:val="en-GB"/>
              </w:rPr>
            </w:pPr>
            <w:r w:rsidRPr="00100FEC">
              <w:rPr>
                <w:rFonts w:ascii="Times New Roman" w:hAnsi="Times New Roman" w:cs="Times New Roman"/>
                <w:sz w:val="20"/>
                <w:szCs w:val="20"/>
                <w:lang w:val="en-GB"/>
              </w:rPr>
              <w:t>Total number: 60</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ECTS Credits:</w:t>
            </w:r>
          </w:p>
        </w:tc>
        <w:tc>
          <w:tcPr>
            <w:tcW w:w="6974" w:type="dxa"/>
            <w:gridSpan w:val="4"/>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5 ECTS</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Degree:</w:t>
            </w:r>
          </w:p>
        </w:tc>
        <w:tc>
          <w:tcPr>
            <w:tcW w:w="6974" w:type="dxa"/>
            <w:gridSpan w:val="4"/>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 xml:space="preserve">Bachelor of Tourism Management </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Course status:</w:t>
            </w:r>
          </w:p>
        </w:tc>
        <w:tc>
          <w:tcPr>
            <w:tcW w:w="6974" w:type="dxa"/>
            <w:gridSpan w:val="4"/>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 xml:space="preserve">Obligatory </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Prerequisites for taking the course:</w:t>
            </w:r>
          </w:p>
        </w:tc>
        <w:tc>
          <w:tcPr>
            <w:tcW w:w="6974" w:type="dxa"/>
            <w:gridSpan w:val="4"/>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Course attendance limitations:</w:t>
            </w:r>
          </w:p>
        </w:tc>
        <w:tc>
          <w:tcPr>
            <w:tcW w:w="6974" w:type="dxa"/>
            <w:gridSpan w:val="4"/>
            <w:tcBorders>
              <w:left w:val="double" w:sz="4" w:space="0" w:color="auto"/>
            </w:tcBorders>
            <w:vAlign w:val="center"/>
          </w:tcPr>
          <w:p w:rsidR="00100FEC" w:rsidRPr="00100FEC" w:rsidRDefault="00100FEC" w:rsidP="00650E80">
            <w:pPr>
              <w:jc w:val="center"/>
              <w:rPr>
                <w:rFonts w:ascii="Times New Roman" w:hAnsi="Times New Roman" w:cs="Times New Roman"/>
                <w:sz w:val="20"/>
                <w:szCs w:val="20"/>
                <w:lang w:val="en-GB"/>
              </w:rPr>
            </w:pPr>
            <w:r w:rsidRPr="00100FEC">
              <w:rPr>
                <w:rFonts w:ascii="Times New Roman" w:hAnsi="Times New Roman" w:cs="Times New Roman"/>
                <w:sz w:val="20"/>
                <w:szCs w:val="20"/>
                <w:lang w:val="en-GB"/>
              </w:rPr>
              <w:t>Only for students of Tourism Studies</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Explanation ECTS credits:</w:t>
            </w:r>
          </w:p>
        </w:tc>
        <w:tc>
          <w:tcPr>
            <w:tcW w:w="6974" w:type="dxa"/>
            <w:gridSpan w:val="4"/>
            <w:tcBorders>
              <w:left w:val="double" w:sz="4" w:space="0" w:color="auto"/>
            </w:tcBorders>
            <w:vAlign w:val="center"/>
          </w:tcPr>
          <w:p w:rsidR="00100FEC" w:rsidRPr="00100FEC" w:rsidRDefault="00100FEC" w:rsidP="009208B8">
            <w:pPr>
              <w:spacing w:after="0" w:line="240" w:lineRule="auto"/>
              <w:jc w:val="both"/>
              <w:rPr>
                <w:rFonts w:ascii="Times New Roman" w:hAnsi="Times New Roman" w:cs="Times New Roman"/>
                <w:sz w:val="20"/>
                <w:szCs w:val="20"/>
                <w:lang w:val="hr-HR"/>
              </w:rPr>
            </w:pPr>
            <w:r w:rsidRPr="00100FEC">
              <w:rPr>
                <w:rFonts w:ascii="Times New Roman" w:hAnsi="Times New Roman" w:cs="Times New Roman"/>
                <w:sz w:val="20"/>
                <w:szCs w:val="20"/>
                <w:lang w:val="en-GB"/>
              </w:rPr>
              <w:t>The number of ECTS points accounts for the number of classes necessary for fulfilment of course duties and preparation for exam.</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Course objectives:</w:t>
            </w:r>
          </w:p>
        </w:tc>
        <w:tc>
          <w:tcPr>
            <w:tcW w:w="6974" w:type="dxa"/>
            <w:gridSpan w:val="4"/>
            <w:tcBorders>
              <w:left w:val="double" w:sz="4" w:space="0" w:color="auto"/>
            </w:tcBorders>
            <w:vAlign w:val="center"/>
          </w:tcPr>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22222"/>
                <w:sz w:val="20"/>
                <w:szCs w:val="20"/>
                <w:lang w:val="hr-HR" w:eastAsia="hr-HR"/>
              </w:rPr>
            </w:pPr>
            <w:r w:rsidRPr="00F44415">
              <w:rPr>
                <w:rFonts w:ascii="Times New Roman" w:hAnsi="Times New Roman" w:cs="Times New Roman"/>
                <w:color w:val="222222"/>
                <w:sz w:val="20"/>
                <w:szCs w:val="20"/>
                <w:lang w:eastAsia="hr-HR"/>
              </w:rPr>
              <w:t>By acquiring basic IT technical knowledge, students will be able to communicate directly with technical staff or business partners in charge of acquiring, maintaining and introducing new technologies or rebuilding their existing IT structure, and developing an awareness of the importance of applying modern e-business capabilities</w:t>
            </w:r>
            <w:r w:rsidRPr="00100FEC">
              <w:rPr>
                <w:rFonts w:ascii="Times New Roman" w:hAnsi="Times New Roman" w:cs="Times New Roman"/>
                <w:spacing w:val="-3"/>
                <w:sz w:val="20"/>
                <w:szCs w:val="20"/>
                <w:lang w:val="hr-HR"/>
              </w:rPr>
              <w:t xml:space="preserve">. </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highlight w:val="yellow"/>
                <w:lang w:val="en-GB"/>
              </w:rPr>
            </w:pPr>
            <w:r w:rsidRPr="00100FEC">
              <w:rPr>
                <w:rFonts w:ascii="Times New Roman" w:hAnsi="Times New Roman" w:cs="Times New Roman"/>
                <w:b/>
                <w:sz w:val="20"/>
                <w:szCs w:val="20"/>
                <w:lang w:val="en-GB"/>
              </w:rPr>
              <w:t>Explanation of general and specific competences / outcomes:</w:t>
            </w:r>
          </w:p>
        </w:tc>
        <w:tc>
          <w:tcPr>
            <w:tcW w:w="6974" w:type="dxa"/>
            <w:gridSpan w:val="4"/>
            <w:tcBorders>
              <w:left w:val="double" w:sz="4" w:space="0" w:color="auto"/>
            </w:tcBorders>
            <w:vAlign w:val="center"/>
          </w:tcPr>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Upon successful completion of this course students will be able to:</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Differentiate basic concepts of information and communication technology</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Write, format and enrich text and use presentation techniques</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Use spreadsheet calculations</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Describe and interpret elements of a business information system.</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Learn to think critically about e-commerce in terms of its good and bad aspects;</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eastAsia="hr-HR"/>
              </w:rPr>
            </w:pPr>
            <w:r w:rsidRPr="00100FEC">
              <w:rPr>
                <w:rFonts w:ascii="Times New Roman" w:eastAsia="Times New Roman" w:hAnsi="Times New Roman" w:cs="Times New Roman"/>
                <w:color w:val="222222"/>
                <w:sz w:val="20"/>
                <w:szCs w:val="20"/>
                <w:lang w:eastAsia="hr-HR"/>
              </w:rPr>
              <w:t>- Understand the changes in information society and economy;</w:t>
            </w:r>
          </w:p>
          <w:p w:rsidR="00100FEC" w:rsidRPr="00100FEC" w:rsidRDefault="00100FEC" w:rsidP="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lang w:val="hr-HR" w:eastAsia="hr-HR"/>
              </w:rPr>
            </w:pPr>
            <w:r w:rsidRPr="00100FEC">
              <w:rPr>
                <w:rFonts w:ascii="Times New Roman" w:eastAsia="Times New Roman" w:hAnsi="Times New Roman" w:cs="Times New Roman"/>
                <w:color w:val="222222"/>
                <w:sz w:val="20"/>
                <w:szCs w:val="20"/>
                <w:lang w:eastAsia="hr-HR"/>
              </w:rPr>
              <w:t>- Prepare for participation in projects of computerization of particular activities, especially in tourism, culture and media.</w:t>
            </w:r>
          </w:p>
          <w:p w:rsidR="00100FEC" w:rsidRPr="00100FEC" w:rsidRDefault="00100FEC" w:rsidP="00A31100">
            <w:pPr>
              <w:numPr>
                <w:ilvl w:val="0"/>
                <w:numId w:val="1"/>
              </w:numPr>
              <w:spacing w:after="0" w:line="240" w:lineRule="auto"/>
              <w:jc w:val="both"/>
              <w:rPr>
                <w:rFonts w:ascii="Times New Roman" w:hAnsi="Times New Roman" w:cs="Times New Roman"/>
                <w:spacing w:val="-3"/>
                <w:sz w:val="20"/>
                <w:szCs w:val="20"/>
                <w:lang w:val="hr-HR"/>
              </w:rPr>
            </w:pP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Plan of activities:</w:t>
            </w:r>
          </w:p>
          <w:p w:rsidR="00100FEC" w:rsidRPr="00100FEC" w:rsidRDefault="00100FEC" w:rsidP="00650E80">
            <w:pPr>
              <w:jc w:val="center"/>
              <w:rPr>
                <w:rFonts w:ascii="Times New Roman" w:hAnsi="Times New Roman" w:cs="Times New Roman"/>
                <w:b/>
                <w:sz w:val="20"/>
                <w:szCs w:val="20"/>
                <w:lang w:val="en-GB"/>
              </w:rPr>
            </w:pPr>
          </w:p>
        </w:tc>
        <w:tc>
          <w:tcPr>
            <w:tcW w:w="6974" w:type="dxa"/>
            <w:gridSpan w:val="4"/>
            <w:tcBorders>
              <w:left w:val="double" w:sz="4" w:space="0" w:color="auto"/>
            </w:tcBorders>
          </w:tcPr>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 Introduction to information technology</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2. Computer structure</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3. Software support</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4. Connecting computers</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5. Information systems / basics</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6. IS Construction and Success</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7. Display of the IS subsystem</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8. IS Security</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9. Databases</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10. E-commerce</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11. Advanced e-commerce</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12. Ecommerce</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13. Email Marketing</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14. Cloud computing.</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15. Web 2.0 technologies</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Teaching methods and means:</w:t>
            </w:r>
          </w:p>
        </w:tc>
        <w:tc>
          <w:tcPr>
            <w:tcW w:w="6974" w:type="dxa"/>
            <w:gridSpan w:val="4"/>
            <w:tcBorders>
              <w:left w:val="double" w:sz="4" w:space="0" w:color="auto"/>
            </w:tcBorders>
            <w:vAlign w:val="center"/>
          </w:tcPr>
          <w:p w:rsidR="00100FEC" w:rsidRPr="00100FEC" w:rsidRDefault="00100FEC" w:rsidP="0009750A">
            <w:pPr>
              <w:spacing w:after="0" w:line="240" w:lineRule="auto"/>
              <w:jc w:val="center"/>
              <w:rPr>
                <w:rFonts w:ascii="Times New Roman" w:hAnsi="Times New Roman" w:cs="Times New Roman"/>
                <w:spacing w:val="-3"/>
                <w:sz w:val="20"/>
                <w:szCs w:val="20"/>
                <w:lang w:val="hr-HR"/>
              </w:rPr>
            </w:pPr>
            <w:r w:rsidRPr="00100FEC">
              <w:rPr>
                <w:rFonts w:ascii="Times New Roman" w:hAnsi="Times New Roman" w:cs="Times New Roman"/>
                <w:color w:val="222222"/>
                <w:sz w:val="20"/>
                <w:szCs w:val="20"/>
              </w:rPr>
              <w:t>lectures, exercises, individual assignments</w:t>
            </w: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Other obligation of students:</w:t>
            </w:r>
          </w:p>
        </w:tc>
        <w:tc>
          <w:tcPr>
            <w:tcW w:w="6974" w:type="dxa"/>
            <w:gridSpan w:val="4"/>
            <w:tcBorders>
              <w:left w:val="double" w:sz="4" w:space="0" w:color="auto"/>
            </w:tcBorders>
            <w:vAlign w:val="center"/>
          </w:tcPr>
          <w:p w:rsidR="00100FEC" w:rsidRPr="00100FEC" w:rsidRDefault="00100FEC" w:rsidP="009208B8">
            <w:pPr>
              <w:spacing w:after="0" w:line="240" w:lineRule="auto"/>
              <w:rPr>
                <w:rFonts w:ascii="Times New Roman" w:hAnsi="Times New Roman" w:cs="Times New Roman"/>
                <w:spacing w:val="-3"/>
                <w:sz w:val="20"/>
                <w:szCs w:val="20"/>
                <w:lang w:val="hr-HR"/>
              </w:rPr>
            </w:pPr>
          </w:p>
        </w:tc>
      </w:tr>
      <w:tr w:rsidR="00100FEC" w:rsidRPr="00100FEC" w:rsidTr="00271525">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Grading:</w:t>
            </w:r>
          </w:p>
        </w:tc>
        <w:tc>
          <w:tcPr>
            <w:tcW w:w="6974" w:type="dxa"/>
            <w:gridSpan w:val="4"/>
            <w:tcBorders>
              <w:left w:val="double" w:sz="4" w:space="0" w:color="auto"/>
            </w:tcBorders>
            <w:vAlign w:val="center"/>
          </w:tcPr>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Teaching Activity - 5% Arrivals - 10%</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Two tests - 20% Project assignment - 10%</w:t>
            </w:r>
          </w:p>
          <w:p w:rsidR="00100FEC" w:rsidRPr="00100FEC" w:rsidRDefault="00100FEC" w:rsidP="00100FEC">
            <w:pPr>
              <w:pStyle w:val="HTMLPreformatted"/>
              <w:rPr>
                <w:rFonts w:ascii="Times New Roman" w:hAnsi="Times New Roman" w:cs="Times New Roman"/>
                <w:color w:val="222222"/>
              </w:rPr>
            </w:pPr>
            <w:r w:rsidRPr="00100FEC">
              <w:rPr>
                <w:rFonts w:ascii="Times New Roman" w:hAnsi="Times New Roman" w:cs="Times New Roman"/>
                <w:color w:val="222222"/>
              </w:rPr>
              <w:t>Exercises - 20% Final Exam 35%</w:t>
            </w:r>
          </w:p>
          <w:p w:rsidR="00100FEC" w:rsidRPr="00100FEC" w:rsidRDefault="00100FEC" w:rsidP="00100FEC">
            <w:pPr>
              <w:pStyle w:val="HTMLPreformatted"/>
              <w:rPr>
                <w:rFonts w:ascii="Times New Roman" w:hAnsi="Times New Roman" w:cs="Times New Roman"/>
                <w:color w:val="222222"/>
              </w:rPr>
            </w:pPr>
          </w:p>
          <w:p w:rsidR="00100FEC" w:rsidRPr="00100FEC" w:rsidRDefault="00100FEC" w:rsidP="00100FEC">
            <w:pPr>
              <w:pStyle w:val="HTMLPreformatted"/>
              <w:jc w:val="both"/>
              <w:rPr>
                <w:rFonts w:ascii="Times New Roman" w:hAnsi="Times New Roman" w:cs="Times New Roman"/>
                <w:color w:val="222222"/>
              </w:rPr>
            </w:pPr>
            <w:r w:rsidRPr="00100FEC">
              <w:rPr>
                <w:rFonts w:ascii="Times New Roman" w:hAnsi="Times New Roman" w:cs="Times New Roman"/>
                <w:color w:val="222222"/>
              </w:rPr>
              <w:t>Students who do not pass the exams and do not earn credits from activities and attendance in classes, and do not satisfy in the exercises, take the written exam 50%, oral 50% with the obligation of the passed exercises for each module.</w:t>
            </w:r>
          </w:p>
        </w:tc>
      </w:tr>
      <w:tr w:rsidR="00100FEC" w:rsidRPr="00100FEC" w:rsidTr="00100FEC">
        <w:trPr>
          <w:jc w:val="center"/>
        </w:trPr>
        <w:tc>
          <w:tcPr>
            <w:tcW w:w="3313" w:type="dxa"/>
            <w:tcBorders>
              <w:top w:val="single" w:sz="4" w:space="0" w:color="auto"/>
              <w:bottom w:val="sing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lastRenderedPageBreak/>
              <w:t>Readings:</w:t>
            </w:r>
          </w:p>
        </w:tc>
        <w:tc>
          <w:tcPr>
            <w:tcW w:w="6974" w:type="dxa"/>
            <w:gridSpan w:val="4"/>
            <w:tcBorders>
              <w:left w:val="double" w:sz="4" w:space="0" w:color="auto"/>
            </w:tcBorders>
            <w:shd w:val="clear" w:color="auto" w:fill="auto"/>
            <w:vAlign w:val="center"/>
          </w:tcPr>
          <w:p w:rsidR="00100FEC" w:rsidRPr="00100FEC" w:rsidRDefault="00100FEC" w:rsidP="00100FEC">
            <w:pPr>
              <w:pStyle w:val="HTMLPreformatted"/>
              <w:shd w:val="clear" w:color="auto" w:fill="F8F9FA"/>
              <w:rPr>
                <w:rFonts w:ascii="Times New Roman" w:hAnsi="Times New Roman" w:cs="Times New Roman"/>
                <w:color w:val="222222"/>
              </w:rPr>
            </w:pPr>
            <w:r w:rsidRPr="00100FEC">
              <w:rPr>
                <w:rFonts w:ascii="Times New Roman" w:hAnsi="Times New Roman" w:cs="Times New Roman"/>
                <w:color w:val="222222"/>
              </w:rPr>
              <w:t>1. Kozic, M., Omerovic, M., Delic, A.: "Computer Systems", Travnik, 2017.</w:t>
            </w:r>
          </w:p>
          <w:p w:rsidR="00100FEC" w:rsidRPr="00100FEC" w:rsidRDefault="00100FEC" w:rsidP="00100FEC">
            <w:pPr>
              <w:pStyle w:val="HTMLPreformatted"/>
              <w:shd w:val="clear" w:color="auto" w:fill="F8F9FA"/>
              <w:rPr>
                <w:rFonts w:ascii="Times New Roman" w:hAnsi="Times New Roman" w:cs="Times New Roman"/>
                <w:color w:val="222222"/>
              </w:rPr>
            </w:pPr>
            <w:r w:rsidRPr="00100FEC">
              <w:rPr>
                <w:rFonts w:ascii="Times New Roman" w:hAnsi="Times New Roman" w:cs="Times New Roman"/>
                <w:color w:val="222222"/>
              </w:rPr>
              <w:t>2. Lecture notes</w:t>
            </w:r>
          </w:p>
          <w:p w:rsidR="00100FEC" w:rsidRPr="00100FEC" w:rsidRDefault="00100FEC" w:rsidP="00100FEC">
            <w:pPr>
              <w:pStyle w:val="HTMLPreformatted"/>
              <w:shd w:val="clear" w:color="auto" w:fill="F8F9FA"/>
              <w:rPr>
                <w:rFonts w:ascii="Times New Roman" w:hAnsi="Times New Roman" w:cs="Times New Roman"/>
                <w:color w:val="222222"/>
              </w:rPr>
            </w:pPr>
            <w:r w:rsidRPr="00100FEC">
              <w:rPr>
                <w:rFonts w:ascii="Times New Roman" w:hAnsi="Times New Roman" w:cs="Times New Roman"/>
                <w:color w:val="222222"/>
              </w:rPr>
              <w:t>3. Panian, Ţ., Ćurko, K.: Business Information Systems, Element, Zagreb, 2010.</w:t>
            </w:r>
          </w:p>
          <w:p w:rsidR="00100FEC" w:rsidRPr="00100FEC" w:rsidRDefault="00100FEC" w:rsidP="0009750A">
            <w:pPr>
              <w:spacing w:after="0" w:line="240" w:lineRule="auto"/>
              <w:jc w:val="both"/>
              <w:rPr>
                <w:rFonts w:ascii="Times New Roman" w:hAnsi="Times New Roman" w:cs="Times New Roman"/>
                <w:sz w:val="20"/>
                <w:szCs w:val="20"/>
                <w:lang w:val="hr-HR"/>
              </w:rPr>
            </w:pPr>
          </w:p>
        </w:tc>
      </w:tr>
      <w:tr w:rsidR="00100FEC" w:rsidRPr="00100FEC" w:rsidTr="00271525">
        <w:trPr>
          <w:jc w:val="center"/>
        </w:trPr>
        <w:tc>
          <w:tcPr>
            <w:tcW w:w="3313" w:type="dxa"/>
            <w:tcBorders>
              <w:top w:val="single" w:sz="4" w:space="0" w:color="auto"/>
              <w:bottom w:val="double" w:sz="4" w:space="0" w:color="auto"/>
              <w:right w:val="double" w:sz="4" w:space="0" w:color="auto"/>
            </w:tcBorders>
            <w:shd w:val="clear" w:color="auto" w:fill="CCCCCC"/>
            <w:vAlign w:val="center"/>
          </w:tcPr>
          <w:p w:rsidR="00100FEC" w:rsidRPr="00100FEC" w:rsidRDefault="00100FEC" w:rsidP="00650E80">
            <w:pPr>
              <w:jc w:val="center"/>
              <w:rPr>
                <w:rFonts w:ascii="Times New Roman" w:hAnsi="Times New Roman" w:cs="Times New Roman"/>
                <w:b/>
                <w:sz w:val="20"/>
                <w:szCs w:val="20"/>
                <w:lang w:val="en-GB"/>
              </w:rPr>
            </w:pPr>
            <w:r w:rsidRPr="00100FEC">
              <w:rPr>
                <w:rFonts w:ascii="Times New Roman" w:hAnsi="Times New Roman" w:cs="Times New Roman"/>
                <w:b/>
                <w:sz w:val="20"/>
                <w:szCs w:val="20"/>
                <w:lang w:val="en-GB"/>
              </w:rPr>
              <w:t>Quality control:</w:t>
            </w:r>
          </w:p>
        </w:tc>
        <w:tc>
          <w:tcPr>
            <w:tcW w:w="6974" w:type="dxa"/>
            <w:gridSpan w:val="4"/>
            <w:tcBorders>
              <w:left w:val="double" w:sz="4" w:space="0" w:color="auto"/>
            </w:tcBorders>
            <w:vAlign w:val="center"/>
          </w:tcPr>
          <w:p w:rsidR="00100FEC" w:rsidRPr="00100FEC" w:rsidRDefault="00100FEC" w:rsidP="009208B8">
            <w:pPr>
              <w:spacing w:after="0" w:line="240" w:lineRule="auto"/>
              <w:jc w:val="center"/>
              <w:rPr>
                <w:rFonts w:ascii="Times New Roman" w:hAnsi="Times New Roman" w:cs="Times New Roman"/>
                <w:sz w:val="20"/>
                <w:szCs w:val="20"/>
                <w:lang w:val="hr-HR"/>
              </w:rPr>
            </w:pPr>
            <w:r w:rsidRPr="00100FEC">
              <w:rPr>
                <w:rFonts w:ascii="Times New Roman" w:hAnsi="Times New Roman" w:cs="Times New Roman"/>
                <w:sz w:val="20"/>
                <w:szCs w:val="20"/>
                <w:lang w:val="en-GB"/>
              </w:rPr>
              <w:t>Anonymous poll among students</w:t>
            </w:r>
          </w:p>
        </w:tc>
      </w:tr>
    </w:tbl>
    <w:p w:rsidR="00100FEC" w:rsidRPr="00100FEC" w:rsidRDefault="00100FEC">
      <w:pPr>
        <w:rPr>
          <w:rFonts w:ascii="Times New Roman" w:hAnsi="Times New Roman" w:cs="Times New Roman"/>
        </w:rPr>
      </w:pPr>
    </w:p>
    <w:p w:rsidR="00100FEC" w:rsidRPr="00100FEC" w:rsidRDefault="00100FEC" w:rsidP="00100FEC">
      <w:pPr>
        <w:rPr>
          <w:rFonts w:ascii="Times New Roman" w:hAnsi="Times New Roman" w:cs="Times New Roman"/>
        </w:rPr>
      </w:pPr>
    </w:p>
    <w:p w:rsidR="00100FEC" w:rsidRPr="00100FEC" w:rsidRDefault="00100FEC" w:rsidP="00100FEC">
      <w:pPr>
        <w:rPr>
          <w:rFonts w:ascii="Times New Roman" w:hAnsi="Times New Roman" w:cs="Times New Roman"/>
        </w:rPr>
      </w:pPr>
    </w:p>
    <w:p w:rsidR="00100FEC" w:rsidRPr="00100FEC" w:rsidRDefault="00100FEC" w:rsidP="00100FEC">
      <w:pPr>
        <w:rPr>
          <w:rFonts w:ascii="Times New Roman" w:hAnsi="Times New Roman" w:cs="Times New Roman"/>
        </w:rPr>
      </w:pPr>
    </w:p>
    <w:p w:rsidR="00100FEC" w:rsidRPr="00100FEC" w:rsidRDefault="00100FEC" w:rsidP="00100FEC">
      <w:pPr>
        <w:rPr>
          <w:rFonts w:ascii="Times New Roman" w:hAnsi="Times New Roman" w:cs="Times New Roman"/>
        </w:rPr>
      </w:pPr>
    </w:p>
    <w:p w:rsidR="00100FEC" w:rsidRPr="00100FEC" w:rsidRDefault="00100FEC" w:rsidP="00100FEC">
      <w:pPr>
        <w:rPr>
          <w:rFonts w:ascii="Times New Roman" w:hAnsi="Times New Roman" w:cs="Times New Roman"/>
        </w:rPr>
      </w:pPr>
    </w:p>
    <w:p w:rsidR="00100FEC" w:rsidRPr="00100FEC" w:rsidRDefault="00100FEC" w:rsidP="00100FEC">
      <w:pPr>
        <w:rPr>
          <w:rFonts w:ascii="Times New Roman" w:eastAsia="Times New Roman" w:hAnsi="Times New Roman" w:cs="Times New Roman"/>
          <w:color w:val="222222"/>
          <w:sz w:val="20"/>
          <w:szCs w:val="20"/>
          <w:lang w:val="hr-HR" w:eastAsia="hr-HR"/>
        </w:rPr>
      </w:pPr>
    </w:p>
    <w:p w:rsidR="001C4E2E" w:rsidRPr="00100FEC" w:rsidRDefault="001C4E2E" w:rsidP="00100FEC">
      <w:pPr>
        <w:ind w:firstLine="708"/>
        <w:rPr>
          <w:rFonts w:ascii="Times New Roman" w:hAnsi="Times New Roman" w:cs="Times New Roman"/>
        </w:rPr>
      </w:pPr>
    </w:p>
    <w:sectPr w:rsidR="001C4E2E" w:rsidRPr="00100FEC" w:rsidSect="00CE015B">
      <w:pgSz w:w="11906" w:h="16838"/>
      <w:pgMar w:top="720" w:right="720" w:bottom="720" w:left="720"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672"/>
    <w:multiLevelType w:val="hybridMultilevel"/>
    <w:tmpl w:val="CE74C70A"/>
    <w:lvl w:ilvl="0" w:tplc="BF88633A">
      <w:start w:val="1"/>
      <w:numFmt w:val="decimal"/>
      <w:lvlText w:val="%1."/>
      <w:lvlJc w:val="left"/>
      <w:pPr>
        <w:ind w:left="360" w:hanging="360"/>
      </w:pPr>
      <w:rPr>
        <w:rFonts w:hint="default"/>
        <w:sz w:val="20"/>
        <w:szCs w:val="2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39A2488C"/>
    <w:multiLevelType w:val="hybridMultilevel"/>
    <w:tmpl w:val="C904272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7A3357FC"/>
    <w:multiLevelType w:val="hybridMultilevel"/>
    <w:tmpl w:val="2A08D46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7CBC005E"/>
    <w:multiLevelType w:val="hybridMultilevel"/>
    <w:tmpl w:val="E7228F46"/>
    <w:lvl w:ilvl="0" w:tplc="5ED4825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08B8"/>
    <w:rsid w:val="0009750A"/>
    <w:rsid w:val="000A4D63"/>
    <w:rsid w:val="00100FEC"/>
    <w:rsid w:val="001C4E2E"/>
    <w:rsid w:val="00202D37"/>
    <w:rsid w:val="00292449"/>
    <w:rsid w:val="00627EA9"/>
    <w:rsid w:val="00776956"/>
    <w:rsid w:val="007D6AA1"/>
    <w:rsid w:val="00805733"/>
    <w:rsid w:val="00830B7F"/>
    <w:rsid w:val="008E4476"/>
    <w:rsid w:val="009208B8"/>
    <w:rsid w:val="00983B50"/>
    <w:rsid w:val="00A31100"/>
    <w:rsid w:val="00B0496D"/>
    <w:rsid w:val="00B145B6"/>
    <w:rsid w:val="00B835A1"/>
    <w:rsid w:val="00CB2B7C"/>
    <w:rsid w:val="00CE015B"/>
    <w:rsid w:val="00D600EC"/>
    <w:rsid w:val="00D76AE9"/>
    <w:rsid w:val="00F649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7F"/>
    <w:rPr>
      <w:color w:val="0563C1" w:themeColor="hyperlink"/>
      <w:u w:val="single"/>
    </w:rPr>
  </w:style>
  <w:style w:type="paragraph" w:styleId="ListParagraph">
    <w:name w:val="List Paragraph"/>
    <w:basedOn w:val="Normal"/>
    <w:uiPriority w:val="34"/>
    <w:qFormat/>
    <w:rsid w:val="00776956"/>
    <w:pPr>
      <w:ind w:left="720"/>
      <w:contextualSpacing/>
    </w:pPr>
  </w:style>
  <w:style w:type="paragraph" w:styleId="HTMLPreformatted">
    <w:name w:val="HTML Preformatted"/>
    <w:basedOn w:val="Normal"/>
    <w:link w:val="HTMLPreformattedChar"/>
    <w:uiPriority w:val="99"/>
    <w:unhideWhenUsed/>
    <w:rsid w:val="0010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100FEC"/>
    <w:rPr>
      <w:rFonts w:ascii="Courier New" w:eastAsia="Times New Roman" w:hAnsi="Courier New" w:cs="Courier New"/>
      <w:sz w:val="20"/>
      <w:szCs w:val="20"/>
      <w:lang w:val="hr-HR" w:eastAsia="hr-HR"/>
    </w:rPr>
  </w:style>
</w:styles>
</file>

<file path=word/webSettings.xml><?xml version="1.0" encoding="utf-8"?>
<w:webSettings xmlns:r="http://schemas.openxmlformats.org/officeDocument/2006/relationships" xmlns:w="http://schemas.openxmlformats.org/wordprocessingml/2006/main">
  <w:divs>
    <w:div w:id="462231215">
      <w:bodyDiv w:val="1"/>
      <w:marLeft w:val="0"/>
      <w:marRight w:val="0"/>
      <w:marTop w:val="0"/>
      <w:marBottom w:val="0"/>
      <w:divBdr>
        <w:top w:val="none" w:sz="0" w:space="0" w:color="auto"/>
        <w:left w:val="none" w:sz="0" w:space="0" w:color="auto"/>
        <w:bottom w:val="none" w:sz="0" w:space="0" w:color="auto"/>
        <w:right w:val="none" w:sz="0" w:space="0" w:color="auto"/>
      </w:divBdr>
    </w:div>
    <w:div w:id="517695652">
      <w:bodyDiv w:val="1"/>
      <w:marLeft w:val="0"/>
      <w:marRight w:val="0"/>
      <w:marTop w:val="0"/>
      <w:marBottom w:val="0"/>
      <w:divBdr>
        <w:top w:val="none" w:sz="0" w:space="0" w:color="auto"/>
        <w:left w:val="none" w:sz="0" w:space="0" w:color="auto"/>
        <w:bottom w:val="none" w:sz="0" w:space="0" w:color="auto"/>
        <w:right w:val="none" w:sz="0" w:space="0" w:color="auto"/>
      </w:divBdr>
    </w:div>
    <w:div w:id="708535421">
      <w:bodyDiv w:val="1"/>
      <w:marLeft w:val="0"/>
      <w:marRight w:val="0"/>
      <w:marTop w:val="0"/>
      <w:marBottom w:val="0"/>
      <w:divBdr>
        <w:top w:val="none" w:sz="0" w:space="0" w:color="auto"/>
        <w:left w:val="none" w:sz="0" w:space="0" w:color="auto"/>
        <w:bottom w:val="none" w:sz="0" w:space="0" w:color="auto"/>
        <w:right w:val="none" w:sz="0" w:space="0" w:color="auto"/>
      </w:divBdr>
    </w:div>
    <w:div w:id="15321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Irma</cp:lastModifiedBy>
  <cp:revision>4</cp:revision>
  <dcterms:created xsi:type="dcterms:W3CDTF">2020-02-18T10:56:00Z</dcterms:created>
  <dcterms:modified xsi:type="dcterms:W3CDTF">2020-02-18T11:04:00Z</dcterms:modified>
</cp:coreProperties>
</file>