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327BC7" w:rsidRPr="009F23EB" w14:paraId="121317A6" w14:textId="77777777" w:rsidTr="004A7095">
        <w:trPr>
          <w:trHeight w:val="524"/>
        </w:trPr>
        <w:tc>
          <w:tcPr>
            <w:tcW w:w="10287" w:type="dxa"/>
            <w:gridSpan w:val="5"/>
            <w:tcBorders>
              <w:top w:val="double" w:sz="4" w:space="0" w:color="auto"/>
              <w:bottom w:val="double" w:sz="4" w:space="0" w:color="auto"/>
            </w:tcBorders>
            <w:shd w:val="clear" w:color="auto" w:fill="CCCCCC"/>
            <w:vAlign w:val="center"/>
          </w:tcPr>
          <w:p w14:paraId="7D54B586" w14:textId="77777777" w:rsidR="00327BC7" w:rsidRPr="0033002E" w:rsidRDefault="00327BC7" w:rsidP="004A7095">
            <w:pPr>
              <w:pStyle w:val="Naslov1"/>
              <w:spacing w:before="0" w:after="0"/>
              <w:jc w:val="center"/>
              <w:rPr>
                <w:rFonts w:ascii="Times New Roman" w:hAnsi="Times New Roman"/>
                <w:b w:val="0"/>
                <w:bCs w:val="0"/>
                <w:spacing w:val="-3"/>
                <w:sz w:val="24"/>
                <w:szCs w:val="24"/>
                <w:lang w:val="en-US"/>
              </w:rPr>
            </w:pPr>
            <w:r>
              <w:rPr>
                <w:rFonts w:ascii="Times New Roman" w:hAnsi="Times New Roman"/>
                <w:b w:val="0"/>
                <w:bCs w:val="0"/>
                <w:spacing w:val="-3"/>
                <w:sz w:val="24"/>
                <w:szCs w:val="24"/>
                <w:lang w:val="en-US"/>
              </w:rPr>
              <w:t>‘’</w:t>
            </w:r>
            <w:r w:rsidRPr="0033002E">
              <w:rPr>
                <w:rFonts w:ascii="Times New Roman" w:hAnsi="Times New Roman"/>
                <w:b w:val="0"/>
                <w:bCs w:val="0"/>
                <w:spacing w:val="-3"/>
                <w:sz w:val="24"/>
                <w:szCs w:val="24"/>
                <w:lang w:val="en-US"/>
              </w:rPr>
              <w:t xml:space="preserve">DZEMAL </w:t>
            </w:r>
            <w:proofErr w:type="gramStart"/>
            <w:r w:rsidRPr="0033002E">
              <w:rPr>
                <w:rFonts w:ascii="Times New Roman" w:hAnsi="Times New Roman"/>
                <w:b w:val="0"/>
                <w:bCs w:val="0"/>
                <w:spacing w:val="-3"/>
                <w:sz w:val="24"/>
                <w:szCs w:val="24"/>
                <w:lang w:val="en-US"/>
              </w:rPr>
              <w:t>BIJEDIC“ UNIVERSITY</w:t>
            </w:r>
            <w:proofErr w:type="gramEnd"/>
            <w:r w:rsidRPr="0033002E">
              <w:rPr>
                <w:rFonts w:ascii="Times New Roman" w:hAnsi="Times New Roman"/>
                <w:b w:val="0"/>
                <w:bCs w:val="0"/>
                <w:spacing w:val="-3"/>
                <w:sz w:val="24"/>
                <w:szCs w:val="24"/>
                <w:lang w:val="en-US"/>
              </w:rPr>
              <w:t xml:space="preserve"> OF MOSTAR</w:t>
            </w:r>
          </w:p>
          <w:p w14:paraId="35C4D5A8" w14:textId="77777777" w:rsidR="00327BC7" w:rsidRDefault="00327BC7" w:rsidP="004A7095">
            <w:pPr>
              <w:pStyle w:val="Naslov1"/>
              <w:spacing w:before="0" w:after="0"/>
              <w:jc w:val="center"/>
              <w:rPr>
                <w:rFonts w:ascii="Times New Roman" w:hAnsi="Times New Roman"/>
                <w:b w:val="0"/>
                <w:bCs w:val="0"/>
                <w:spacing w:val="-3"/>
                <w:sz w:val="22"/>
                <w:szCs w:val="22"/>
                <w:lang w:val="en-US"/>
              </w:rPr>
            </w:pPr>
            <w:r w:rsidRPr="0033002E">
              <w:rPr>
                <w:rFonts w:ascii="Times New Roman" w:hAnsi="Times New Roman"/>
                <w:b w:val="0"/>
                <w:bCs w:val="0"/>
                <w:spacing w:val="-3"/>
                <w:sz w:val="22"/>
                <w:szCs w:val="22"/>
                <w:lang w:val="en-US"/>
              </w:rPr>
              <w:t>FACULTY OF MECHANICAL ENGINEERING</w:t>
            </w:r>
          </w:p>
          <w:p w14:paraId="5B457129" w14:textId="77777777" w:rsidR="00327BC7" w:rsidRPr="009F23EB" w:rsidRDefault="00327BC7" w:rsidP="004A7095">
            <w:pPr>
              <w:jc w:val="center"/>
              <w:rPr>
                <w:b/>
                <w:spacing w:val="-3"/>
                <w:lang w:val="hr-BA"/>
              </w:rPr>
            </w:pPr>
            <w:r>
              <w:rPr>
                <w:lang w:val="en-US"/>
              </w:rPr>
              <w:t>RENEWABLE ENERGY SOURCES</w:t>
            </w:r>
          </w:p>
        </w:tc>
      </w:tr>
      <w:tr w:rsidR="00327BC7" w:rsidRPr="009F23EB" w14:paraId="1EFF565B" w14:textId="77777777" w:rsidTr="004A7095">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017F0869" w14:textId="77777777" w:rsidR="00327BC7" w:rsidRPr="009F23EB" w:rsidRDefault="00327BC7" w:rsidP="004A7095">
            <w:pPr>
              <w:jc w:val="center"/>
              <w:rPr>
                <w:b/>
                <w:sz w:val="20"/>
                <w:szCs w:val="20"/>
                <w:lang w:val="hr-BA"/>
              </w:rPr>
            </w:pPr>
            <w:r>
              <w:rPr>
                <w:b/>
                <w:sz w:val="20"/>
                <w:szCs w:val="20"/>
              </w:rPr>
              <w:t>Modul:</w:t>
            </w:r>
          </w:p>
        </w:tc>
        <w:tc>
          <w:tcPr>
            <w:tcW w:w="3761" w:type="dxa"/>
            <w:gridSpan w:val="2"/>
            <w:tcBorders>
              <w:top w:val="double" w:sz="4" w:space="0" w:color="auto"/>
              <w:left w:val="double" w:sz="4" w:space="0" w:color="auto"/>
            </w:tcBorders>
            <w:vAlign w:val="center"/>
          </w:tcPr>
          <w:p w14:paraId="0172541A" w14:textId="7B1E6735" w:rsidR="00327BC7" w:rsidRPr="007B44D8" w:rsidRDefault="00D56E78" w:rsidP="004A7095">
            <w:pPr>
              <w:pStyle w:val="Naslov1"/>
              <w:jc w:val="center"/>
              <w:rPr>
                <w:rFonts w:ascii="Times New Roman" w:hAnsi="Times New Roman"/>
                <w:sz w:val="20"/>
                <w:lang w:val="hr-BA"/>
              </w:rPr>
            </w:pPr>
            <w:r>
              <w:rPr>
                <w:rFonts w:ascii="Times New Roman" w:hAnsi="Times New Roman"/>
                <w:sz w:val="20"/>
              </w:rPr>
              <w:t>WIND</w:t>
            </w:r>
            <w:r w:rsidR="008853E3">
              <w:rPr>
                <w:rFonts w:ascii="Times New Roman" w:hAnsi="Times New Roman"/>
                <w:sz w:val="20"/>
              </w:rPr>
              <w:t xml:space="preserve"> </w:t>
            </w:r>
            <w:r>
              <w:rPr>
                <w:rFonts w:ascii="Times New Roman" w:hAnsi="Times New Roman"/>
                <w:sz w:val="20"/>
              </w:rPr>
              <w:t>POWER PLANTS</w:t>
            </w:r>
          </w:p>
        </w:tc>
        <w:tc>
          <w:tcPr>
            <w:tcW w:w="3213" w:type="dxa"/>
            <w:gridSpan w:val="2"/>
            <w:tcBorders>
              <w:top w:val="double" w:sz="4" w:space="0" w:color="auto"/>
            </w:tcBorders>
            <w:vAlign w:val="center"/>
          </w:tcPr>
          <w:p w14:paraId="1A112684" w14:textId="7776B7B2" w:rsidR="00327BC7" w:rsidRPr="009F23EB" w:rsidRDefault="00327BC7" w:rsidP="004A7095">
            <w:pPr>
              <w:pStyle w:val="Naslov1"/>
              <w:jc w:val="center"/>
              <w:rPr>
                <w:rFonts w:ascii="Times New Roman" w:hAnsi="Times New Roman"/>
                <w:b w:val="0"/>
                <w:sz w:val="20"/>
                <w:lang w:val="hr-BA"/>
              </w:rPr>
            </w:pPr>
            <w:r>
              <w:rPr>
                <w:rFonts w:ascii="Times New Roman" w:hAnsi="Times New Roman"/>
                <w:b w:val="0"/>
                <w:sz w:val="20"/>
              </w:rPr>
              <w:t xml:space="preserve">Module </w:t>
            </w:r>
            <w:r w:rsidRPr="0074109E">
              <w:rPr>
                <w:rFonts w:ascii="Times New Roman" w:hAnsi="Times New Roman"/>
                <w:b w:val="0"/>
                <w:sz w:val="20"/>
              </w:rPr>
              <w:t>code</w:t>
            </w:r>
            <w:r w:rsidRPr="009F23EB">
              <w:rPr>
                <w:rFonts w:ascii="Times New Roman" w:hAnsi="Times New Roman"/>
                <w:b w:val="0"/>
                <w:sz w:val="20"/>
                <w:lang w:val="hr-BA"/>
              </w:rPr>
              <w:t>:</w:t>
            </w:r>
            <w:r>
              <w:rPr>
                <w:rFonts w:ascii="Times New Roman" w:hAnsi="Times New Roman"/>
                <w:b w:val="0"/>
                <w:sz w:val="20"/>
                <w:lang w:val="hr-BA"/>
              </w:rPr>
              <w:t xml:space="preserve"> </w:t>
            </w:r>
            <w:r w:rsidR="00066BCC">
              <w:rPr>
                <w:rFonts w:ascii="Times New Roman" w:hAnsi="Times New Roman"/>
                <w:b w:val="0"/>
                <w:sz w:val="20"/>
                <w:lang w:val="hr-BA"/>
              </w:rPr>
              <w:t>xx</w:t>
            </w:r>
          </w:p>
        </w:tc>
      </w:tr>
      <w:tr w:rsidR="00327BC7" w:rsidRPr="009F23EB" w14:paraId="5CE8E457"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4A09552" w14:textId="77777777" w:rsidR="00327BC7" w:rsidRPr="009D1EF7" w:rsidRDefault="00327BC7" w:rsidP="004A7095">
            <w:pPr>
              <w:jc w:val="center"/>
              <w:rPr>
                <w:b/>
                <w:sz w:val="20"/>
                <w:szCs w:val="20"/>
                <w:lang w:val="hr-BA"/>
              </w:rPr>
            </w:pPr>
            <w:r w:rsidRPr="009D1EF7">
              <w:rPr>
                <w:b/>
                <w:sz w:val="20"/>
                <w:szCs w:val="20"/>
              </w:rPr>
              <w:t>The level of cycles, years of study, semester</w:t>
            </w:r>
          </w:p>
        </w:tc>
        <w:tc>
          <w:tcPr>
            <w:tcW w:w="3761" w:type="dxa"/>
            <w:gridSpan w:val="2"/>
            <w:tcBorders>
              <w:left w:val="double" w:sz="4" w:space="0" w:color="auto"/>
            </w:tcBorders>
            <w:vAlign w:val="center"/>
          </w:tcPr>
          <w:p w14:paraId="5F8D4C15" w14:textId="77777777" w:rsidR="00327BC7" w:rsidRPr="009F23EB" w:rsidRDefault="00327BC7" w:rsidP="004A7095">
            <w:pPr>
              <w:jc w:val="center"/>
              <w:rPr>
                <w:sz w:val="20"/>
                <w:szCs w:val="20"/>
                <w:lang w:val="hr-BA"/>
              </w:rPr>
            </w:pPr>
            <w:r w:rsidRPr="0033002E">
              <w:rPr>
                <w:sz w:val="20"/>
                <w:szCs w:val="20"/>
                <w:lang w:val="en-US"/>
              </w:rPr>
              <w:t>II cycles</w:t>
            </w:r>
          </w:p>
        </w:tc>
        <w:tc>
          <w:tcPr>
            <w:tcW w:w="3213" w:type="dxa"/>
            <w:gridSpan w:val="2"/>
            <w:vAlign w:val="center"/>
          </w:tcPr>
          <w:p w14:paraId="4AACA954" w14:textId="3079FA2A" w:rsidR="00327BC7" w:rsidRPr="00D56E78" w:rsidRDefault="00327BC7" w:rsidP="004A7095">
            <w:pPr>
              <w:jc w:val="center"/>
              <w:rPr>
                <w:sz w:val="20"/>
                <w:szCs w:val="20"/>
                <w:lang w:val="hr-BA"/>
              </w:rPr>
            </w:pPr>
            <w:r w:rsidRPr="00D56E78">
              <w:rPr>
                <w:sz w:val="20"/>
                <w:szCs w:val="20"/>
                <w:lang w:val="en-US"/>
              </w:rPr>
              <w:t>Year: I/</w:t>
            </w:r>
            <w:r w:rsidR="00D56E78" w:rsidRPr="00D56E78">
              <w:rPr>
                <w:sz w:val="20"/>
                <w:szCs w:val="20"/>
                <w:lang w:val="en-US"/>
              </w:rPr>
              <w:t>I</w:t>
            </w:r>
            <w:r w:rsidRPr="00D56E78">
              <w:rPr>
                <w:sz w:val="20"/>
                <w:szCs w:val="20"/>
                <w:lang w:val="en-US"/>
              </w:rPr>
              <w:t xml:space="preserve"> semester</w:t>
            </w:r>
          </w:p>
        </w:tc>
      </w:tr>
      <w:tr w:rsidR="00327BC7" w:rsidRPr="009F23EB" w14:paraId="3F082702"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D8CBBDD" w14:textId="77777777" w:rsidR="00327BC7" w:rsidRPr="009F23EB" w:rsidRDefault="00327BC7" w:rsidP="004A7095">
            <w:pPr>
              <w:jc w:val="center"/>
              <w:rPr>
                <w:b/>
                <w:sz w:val="20"/>
                <w:szCs w:val="20"/>
                <w:lang w:val="hr-BA"/>
              </w:rPr>
            </w:pPr>
            <w:r>
              <w:rPr>
                <w:b/>
                <w:sz w:val="20"/>
                <w:szCs w:val="20"/>
              </w:rPr>
              <w:t>Teacher</w:t>
            </w:r>
          </w:p>
        </w:tc>
        <w:tc>
          <w:tcPr>
            <w:tcW w:w="6974" w:type="dxa"/>
            <w:gridSpan w:val="4"/>
            <w:tcBorders>
              <w:left w:val="double" w:sz="4" w:space="0" w:color="auto"/>
            </w:tcBorders>
            <w:vAlign w:val="center"/>
          </w:tcPr>
          <w:p w14:paraId="4B0FFA75" w14:textId="7E10C514" w:rsidR="00327BC7" w:rsidRPr="009F23EB" w:rsidRDefault="000C4097" w:rsidP="004A7095">
            <w:pPr>
              <w:jc w:val="center"/>
              <w:rPr>
                <w:sz w:val="20"/>
                <w:szCs w:val="20"/>
                <w:lang w:val="hr-BA"/>
              </w:rPr>
            </w:pPr>
            <w:r>
              <w:rPr>
                <w:spacing w:val="-3"/>
                <w:sz w:val="20"/>
                <w:szCs w:val="20"/>
                <w:lang w:val="hr-BA"/>
              </w:rPr>
              <w:t>Assis.prof</w:t>
            </w:r>
            <w:r w:rsidR="00066BCC">
              <w:rPr>
                <w:spacing w:val="-3"/>
                <w:sz w:val="20"/>
                <w:szCs w:val="20"/>
                <w:lang w:val="hr-BA"/>
              </w:rPr>
              <w:t>. Damir Špago</w:t>
            </w:r>
          </w:p>
        </w:tc>
      </w:tr>
      <w:tr w:rsidR="00327BC7" w:rsidRPr="009F23EB" w14:paraId="73B33D3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6CD3CA9" w14:textId="77777777" w:rsidR="00327BC7" w:rsidRPr="009F23EB" w:rsidRDefault="00327BC7" w:rsidP="004A7095">
            <w:pPr>
              <w:jc w:val="center"/>
              <w:rPr>
                <w:b/>
                <w:sz w:val="20"/>
                <w:szCs w:val="20"/>
                <w:lang w:val="hr-BA"/>
              </w:rPr>
            </w:pPr>
            <w:r>
              <w:rPr>
                <w:b/>
                <w:sz w:val="20"/>
                <w:szCs w:val="20"/>
              </w:rPr>
              <w:t>Contact details</w:t>
            </w:r>
          </w:p>
        </w:tc>
        <w:tc>
          <w:tcPr>
            <w:tcW w:w="6974" w:type="dxa"/>
            <w:gridSpan w:val="4"/>
            <w:tcBorders>
              <w:left w:val="double" w:sz="4" w:space="0" w:color="auto"/>
            </w:tcBorders>
            <w:vAlign w:val="center"/>
          </w:tcPr>
          <w:p w14:paraId="7A9CFD6D" w14:textId="3DEC1340" w:rsidR="00327BC7" w:rsidRPr="009F23EB" w:rsidRDefault="00327BC7" w:rsidP="004A7095">
            <w:pPr>
              <w:rPr>
                <w:spacing w:val="-3"/>
                <w:sz w:val="20"/>
                <w:szCs w:val="20"/>
                <w:lang w:val="hr-BA"/>
              </w:rPr>
            </w:pPr>
            <w:r w:rsidRPr="009F23EB">
              <w:rPr>
                <w:i/>
                <w:spacing w:val="-3"/>
                <w:sz w:val="20"/>
                <w:szCs w:val="20"/>
                <w:lang w:val="hr-BA"/>
              </w:rPr>
              <w:t>E-mail</w:t>
            </w:r>
            <w:r w:rsidRPr="009F23EB">
              <w:rPr>
                <w:spacing w:val="-3"/>
                <w:sz w:val="20"/>
                <w:szCs w:val="20"/>
                <w:lang w:val="hr-BA"/>
              </w:rPr>
              <w:t xml:space="preserve">: </w:t>
            </w:r>
            <w:r w:rsidR="00066BCC">
              <w:rPr>
                <w:spacing w:val="-3"/>
                <w:sz w:val="20"/>
                <w:szCs w:val="20"/>
                <w:lang w:val="hr-BA"/>
              </w:rPr>
              <w:t>damir.spago</w:t>
            </w:r>
            <w:r w:rsidRPr="009F23EB">
              <w:rPr>
                <w:spacing w:val="-3"/>
                <w:sz w:val="20"/>
                <w:szCs w:val="20"/>
                <w:lang w:val="hr-BA"/>
              </w:rPr>
              <w:t xml:space="preserve">@unmo.ba        </w:t>
            </w:r>
            <w:r>
              <w:rPr>
                <w:spacing w:val="-3"/>
                <w:sz w:val="20"/>
                <w:szCs w:val="20"/>
                <w:lang w:val="hr-BA"/>
              </w:rPr>
              <w:t xml:space="preserve">    </w:t>
            </w:r>
            <w:r w:rsidRPr="009F23EB">
              <w:rPr>
                <w:spacing w:val="-3"/>
                <w:sz w:val="20"/>
                <w:szCs w:val="20"/>
                <w:lang w:val="hr-BA"/>
              </w:rPr>
              <w:t xml:space="preserve"> </w:t>
            </w:r>
            <w:r>
              <w:rPr>
                <w:spacing w:val="-3"/>
                <w:sz w:val="20"/>
                <w:szCs w:val="20"/>
                <w:lang w:val="hr-BA"/>
              </w:rPr>
              <w:t xml:space="preserve"> </w:t>
            </w:r>
          </w:p>
        </w:tc>
      </w:tr>
      <w:tr w:rsidR="00327BC7" w:rsidRPr="009F23EB" w14:paraId="16955435"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E40B303" w14:textId="77777777" w:rsidR="00327BC7" w:rsidRPr="009F23EB" w:rsidRDefault="00327BC7" w:rsidP="004A7095">
            <w:pPr>
              <w:jc w:val="center"/>
              <w:rPr>
                <w:b/>
                <w:sz w:val="20"/>
                <w:szCs w:val="20"/>
                <w:lang w:val="hr-BA"/>
              </w:rPr>
            </w:pPr>
            <w:r w:rsidRPr="00B76807">
              <w:rPr>
                <w:b/>
                <w:sz w:val="20"/>
                <w:szCs w:val="20"/>
              </w:rPr>
              <w:t xml:space="preserve">The total number </w:t>
            </w:r>
            <w:r>
              <w:rPr>
                <w:b/>
                <w:sz w:val="20"/>
                <w:szCs w:val="20"/>
              </w:rPr>
              <w:t>of</w:t>
            </w:r>
            <w:r w:rsidRPr="00B76807">
              <w:rPr>
                <w:b/>
                <w:sz w:val="20"/>
                <w:szCs w:val="20"/>
              </w:rPr>
              <w:t xml:space="preserve"> </w:t>
            </w:r>
            <w:r>
              <w:rPr>
                <w:b/>
                <w:sz w:val="20"/>
                <w:szCs w:val="20"/>
              </w:rPr>
              <w:t>modul hours</w:t>
            </w:r>
          </w:p>
        </w:tc>
        <w:tc>
          <w:tcPr>
            <w:tcW w:w="2611" w:type="dxa"/>
            <w:tcBorders>
              <w:left w:val="double" w:sz="4" w:space="0" w:color="auto"/>
            </w:tcBorders>
            <w:vAlign w:val="center"/>
          </w:tcPr>
          <w:p w14:paraId="532044F1" w14:textId="77777777" w:rsidR="00327BC7" w:rsidRPr="009F23EB" w:rsidRDefault="00327BC7" w:rsidP="004A7095">
            <w:pPr>
              <w:rPr>
                <w:sz w:val="20"/>
                <w:szCs w:val="20"/>
                <w:lang w:val="hr-BA"/>
              </w:rPr>
            </w:pPr>
            <w:r>
              <w:rPr>
                <w:sz w:val="20"/>
                <w:szCs w:val="20"/>
              </w:rPr>
              <w:t>L</w:t>
            </w:r>
            <w:r w:rsidRPr="00B76807">
              <w:rPr>
                <w:sz w:val="20"/>
                <w:szCs w:val="20"/>
              </w:rPr>
              <w:t>ectures per week:</w:t>
            </w:r>
            <w:r w:rsidRPr="009F23EB">
              <w:rPr>
                <w:sz w:val="20"/>
                <w:szCs w:val="20"/>
                <w:lang w:val="hr-BA"/>
              </w:rPr>
              <w:t xml:space="preserve">2 </w:t>
            </w:r>
          </w:p>
        </w:tc>
        <w:tc>
          <w:tcPr>
            <w:tcW w:w="2318" w:type="dxa"/>
            <w:gridSpan w:val="2"/>
            <w:vAlign w:val="center"/>
          </w:tcPr>
          <w:p w14:paraId="1801BD00" w14:textId="77777777" w:rsidR="00327BC7" w:rsidRPr="009F23EB" w:rsidRDefault="00327BC7" w:rsidP="004A7095">
            <w:pPr>
              <w:jc w:val="center"/>
              <w:rPr>
                <w:sz w:val="20"/>
                <w:szCs w:val="20"/>
                <w:lang w:val="hr-BA"/>
              </w:rPr>
            </w:pPr>
            <w:r>
              <w:rPr>
                <w:sz w:val="20"/>
                <w:szCs w:val="20"/>
              </w:rPr>
              <w:t>E</w:t>
            </w:r>
            <w:r w:rsidRPr="00B76807">
              <w:rPr>
                <w:sz w:val="20"/>
                <w:szCs w:val="20"/>
              </w:rPr>
              <w:t>xercise per week</w:t>
            </w:r>
            <w:r w:rsidRPr="009F23EB">
              <w:rPr>
                <w:sz w:val="20"/>
                <w:szCs w:val="20"/>
                <w:lang w:val="hr-BA"/>
              </w:rPr>
              <w:t>: 2</w:t>
            </w:r>
          </w:p>
        </w:tc>
        <w:tc>
          <w:tcPr>
            <w:tcW w:w="2045" w:type="dxa"/>
            <w:vAlign w:val="center"/>
          </w:tcPr>
          <w:p w14:paraId="15BC6E9C" w14:textId="77777777" w:rsidR="00327BC7" w:rsidRDefault="00327BC7" w:rsidP="004A7095">
            <w:pPr>
              <w:jc w:val="center"/>
              <w:rPr>
                <w:sz w:val="20"/>
                <w:szCs w:val="20"/>
                <w:lang w:val="hr-BA"/>
              </w:rPr>
            </w:pPr>
            <w:r w:rsidRPr="00CF6724">
              <w:rPr>
                <w:sz w:val="20"/>
                <w:szCs w:val="20"/>
              </w:rPr>
              <w:t>Total Hours</w:t>
            </w:r>
          </w:p>
          <w:p w14:paraId="78EC26B1" w14:textId="77777777" w:rsidR="00327BC7" w:rsidRPr="009F23EB" w:rsidRDefault="00327BC7" w:rsidP="004A7095">
            <w:pPr>
              <w:jc w:val="center"/>
              <w:rPr>
                <w:sz w:val="20"/>
                <w:szCs w:val="20"/>
                <w:lang w:val="hr-BA"/>
              </w:rPr>
            </w:pPr>
            <w:r>
              <w:rPr>
                <w:sz w:val="20"/>
                <w:szCs w:val="20"/>
                <w:lang w:val="hr-BA"/>
              </w:rPr>
              <w:t>30+30 (L+E)</w:t>
            </w:r>
          </w:p>
        </w:tc>
      </w:tr>
      <w:tr w:rsidR="00327BC7" w:rsidRPr="009F23EB" w14:paraId="0484D35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9CC2B20" w14:textId="77777777" w:rsidR="00327BC7" w:rsidRPr="009F23EB" w:rsidRDefault="00327BC7" w:rsidP="004A7095">
            <w:pPr>
              <w:jc w:val="center"/>
              <w:rPr>
                <w:b/>
                <w:sz w:val="20"/>
                <w:szCs w:val="20"/>
                <w:lang w:val="hr-BA"/>
              </w:rPr>
            </w:pPr>
            <w:r w:rsidRPr="00CF6724">
              <w:rPr>
                <w:b/>
                <w:sz w:val="20"/>
                <w:szCs w:val="20"/>
              </w:rPr>
              <w:t>ECT</w:t>
            </w:r>
            <w:r>
              <w:rPr>
                <w:b/>
                <w:sz w:val="20"/>
                <w:szCs w:val="20"/>
              </w:rPr>
              <w:t>S</w:t>
            </w:r>
          </w:p>
        </w:tc>
        <w:tc>
          <w:tcPr>
            <w:tcW w:w="6974" w:type="dxa"/>
            <w:gridSpan w:val="4"/>
            <w:tcBorders>
              <w:left w:val="double" w:sz="4" w:space="0" w:color="auto"/>
            </w:tcBorders>
            <w:vAlign w:val="center"/>
          </w:tcPr>
          <w:p w14:paraId="289F5B78" w14:textId="77777777" w:rsidR="00327BC7" w:rsidRPr="009F23EB" w:rsidRDefault="00327BC7" w:rsidP="004A7095">
            <w:pPr>
              <w:jc w:val="center"/>
              <w:rPr>
                <w:sz w:val="20"/>
                <w:szCs w:val="20"/>
                <w:lang w:val="hr-BA"/>
              </w:rPr>
            </w:pPr>
            <w:r>
              <w:rPr>
                <w:sz w:val="20"/>
                <w:szCs w:val="20"/>
                <w:lang w:val="hr-BA"/>
              </w:rPr>
              <w:t>6</w:t>
            </w:r>
            <w:r w:rsidRPr="009F23EB">
              <w:rPr>
                <w:sz w:val="20"/>
                <w:szCs w:val="20"/>
                <w:lang w:val="hr-BA"/>
              </w:rPr>
              <w:t xml:space="preserve"> ECTS</w:t>
            </w:r>
          </w:p>
        </w:tc>
      </w:tr>
      <w:tr w:rsidR="00327BC7" w:rsidRPr="009F23EB" w14:paraId="4AC1FB9D"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6ACE57B" w14:textId="77777777" w:rsidR="00327BC7" w:rsidRPr="009F23EB" w:rsidRDefault="00327BC7" w:rsidP="004A7095">
            <w:pPr>
              <w:jc w:val="center"/>
              <w:rPr>
                <w:b/>
                <w:sz w:val="20"/>
                <w:szCs w:val="20"/>
                <w:lang w:val="hr-BA"/>
              </w:rPr>
            </w:pPr>
            <w:r>
              <w:rPr>
                <w:b/>
                <w:sz w:val="20"/>
                <w:szCs w:val="20"/>
              </w:rPr>
              <w:t>Qualifications</w:t>
            </w:r>
          </w:p>
        </w:tc>
        <w:tc>
          <w:tcPr>
            <w:tcW w:w="6974" w:type="dxa"/>
            <w:gridSpan w:val="4"/>
            <w:tcBorders>
              <w:left w:val="double" w:sz="4" w:space="0" w:color="auto"/>
            </w:tcBorders>
            <w:vAlign w:val="center"/>
          </w:tcPr>
          <w:p w14:paraId="61EC8BF4" w14:textId="5448C5F7" w:rsidR="00327BC7" w:rsidRPr="009F23EB" w:rsidRDefault="000C4097" w:rsidP="000C4097">
            <w:pPr>
              <w:jc w:val="center"/>
              <w:rPr>
                <w:sz w:val="20"/>
                <w:szCs w:val="20"/>
                <w:lang w:val="hr-BA"/>
              </w:rPr>
            </w:pPr>
            <w:r w:rsidRPr="000C4097">
              <w:rPr>
                <w:sz w:val="20"/>
                <w:szCs w:val="20"/>
              </w:rPr>
              <w:t>Master of Mechanical Engineering</w:t>
            </w:r>
          </w:p>
        </w:tc>
      </w:tr>
      <w:tr w:rsidR="00327BC7" w:rsidRPr="009F23EB" w14:paraId="1CE3B41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0EDE8610" w14:textId="77777777" w:rsidR="00327BC7" w:rsidRPr="009F23EB" w:rsidRDefault="00327BC7" w:rsidP="004A7095">
            <w:pPr>
              <w:jc w:val="center"/>
              <w:rPr>
                <w:b/>
                <w:sz w:val="20"/>
                <w:szCs w:val="20"/>
                <w:lang w:val="hr-BA"/>
              </w:rPr>
            </w:pPr>
            <w:r>
              <w:rPr>
                <w:b/>
                <w:sz w:val="20"/>
                <w:szCs w:val="20"/>
              </w:rPr>
              <w:t>Modul status</w:t>
            </w:r>
          </w:p>
        </w:tc>
        <w:tc>
          <w:tcPr>
            <w:tcW w:w="6974" w:type="dxa"/>
            <w:gridSpan w:val="4"/>
            <w:tcBorders>
              <w:left w:val="double" w:sz="4" w:space="0" w:color="auto"/>
            </w:tcBorders>
            <w:vAlign w:val="center"/>
          </w:tcPr>
          <w:p w14:paraId="09C9C6FE" w14:textId="77777777" w:rsidR="00327BC7" w:rsidRPr="009F23EB" w:rsidRDefault="00327BC7" w:rsidP="004A7095">
            <w:pPr>
              <w:jc w:val="center"/>
              <w:rPr>
                <w:sz w:val="20"/>
                <w:szCs w:val="20"/>
                <w:lang w:val="hr-BA"/>
              </w:rPr>
            </w:pPr>
            <w:r>
              <w:rPr>
                <w:sz w:val="20"/>
                <w:szCs w:val="20"/>
              </w:rPr>
              <w:t>Compulsory</w:t>
            </w:r>
          </w:p>
        </w:tc>
      </w:tr>
      <w:tr w:rsidR="00327BC7" w:rsidRPr="009F23EB" w14:paraId="30FB6AA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6800069" w14:textId="77777777" w:rsidR="00327BC7" w:rsidRPr="005B1F4B" w:rsidRDefault="00327BC7" w:rsidP="004A7095">
            <w:pPr>
              <w:spacing w:before="0" w:after="0" w:line="240" w:lineRule="auto"/>
              <w:jc w:val="center"/>
              <w:rPr>
                <w:b/>
                <w:sz w:val="20"/>
                <w:szCs w:val="20"/>
                <w:lang w:val="en-US" w:eastAsia="bs-Latn-BA"/>
              </w:rPr>
            </w:pPr>
            <w:r>
              <w:rPr>
                <w:b/>
                <w:sz w:val="20"/>
                <w:szCs w:val="20"/>
                <w:lang w:val="en-US" w:eastAsia="bs-Latn-BA"/>
              </w:rPr>
              <w:t>Requirements for examination</w:t>
            </w:r>
          </w:p>
        </w:tc>
        <w:tc>
          <w:tcPr>
            <w:tcW w:w="6974" w:type="dxa"/>
            <w:gridSpan w:val="4"/>
            <w:tcBorders>
              <w:left w:val="double" w:sz="4" w:space="0" w:color="auto"/>
            </w:tcBorders>
            <w:vAlign w:val="center"/>
          </w:tcPr>
          <w:p w14:paraId="579CAF3C" w14:textId="77777777" w:rsidR="00327BC7" w:rsidRPr="009F23EB" w:rsidRDefault="00327BC7" w:rsidP="004A7095">
            <w:pPr>
              <w:jc w:val="center"/>
              <w:rPr>
                <w:sz w:val="20"/>
                <w:szCs w:val="20"/>
                <w:lang w:val="hr-BA"/>
              </w:rPr>
            </w:pPr>
            <w:r>
              <w:rPr>
                <w:sz w:val="20"/>
                <w:szCs w:val="20"/>
                <w:lang w:val="hr-BA"/>
              </w:rPr>
              <w:t>-</w:t>
            </w:r>
          </w:p>
        </w:tc>
      </w:tr>
      <w:tr w:rsidR="00327BC7" w:rsidRPr="009F23EB" w14:paraId="3EBEA8C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836C0E3" w14:textId="77777777" w:rsidR="00327BC7" w:rsidRPr="009F23EB" w:rsidRDefault="00327BC7" w:rsidP="004A7095">
            <w:pPr>
              <w:jc w:val="center"/>
              <w:rPr>
                <w:b/>
                <w:sz w:val="20"/>
                <w:szCs w:val="20"/>
                <w:lang w:val="hr-BA"/>
              </w:rPr>
            </w:pPr>
            <w:r w:rsidRPr="00286D9D">
              <w:rPr>
                <w:b/>
                <w:sz w:val="20"/>
                <w:szCs w:val="20"/>
              </w:rPr>
              <w:t xml:space="preserve">Restrictions on access to </w:t>
            </w:r>
            <w:r>
              <w:rPr>
                <w:b/>
                <w:sz w:val="20"/>
                <w:szCs w:val="20"/>
              </w:rPr>
              <w:t>modul</w:t>
            </w:r>
          </w:p>
        </w:tc>
        <w:tc>
          <w:tcPr>
            <w:tcW w:w="6974" w:type="dxa"/>
            <w:gridSpan w:val="4"/>
            <w:tcBorders>
              <w:left w:val="double" w:sz="4" w:space="0" w:color="auto"/>
            </w:tcBorders>
            <w:vAlign w:val="center"/>
          </w:tcPr>
          <w:p w14:paraId="27929DDB" w14:textId="77777777" w:rsidR="00327BC7" w:rsidRPr="009F23EB" w:rsidRDefault="00327BC7" w:rsidP="004A7095">
            <w:pPr>
              <w:jc w:val="center"/>
              <w:rPr>
                <w:sz w:val="20"/>
                <w:szCs w:val="20"/>
                <w:lang w:val="hr-BA"/>
              </w:rPr>
            </w:pPr>
            <w:r>
              <w:rPr>
                <w:sz w:val="20"/>
                <w:szCs w:val="20"/>
                <w:lang w:val="hr-BA"/>
              </w:rPr>
              <w:t>-</w:t>
            </w:r>
          </w:p>
        </w:tc>
      </w:tr>
      <w:tr w:rsidR="00327BC7" w:rsidRPr="009F23EB" w14:paraId="05B3E22B" w14:textId="77777777" w:rsidTr="00EE2150">
        <w:tc>
          <w:tcPr>
            <w:tcW w:w="3313" w:type="dxa"/>
            <w:tcBorders>
              <w:top w:val="single" w:sz="4" w:space="0" w:color="auto"/>
              <w:bottom w:val="single" w:sz="4" w:space="0" w:color="auto"/>
              <w:right w:val="double" w:sz="4" w:space="0" w:color="auto"/>
            </w:tcBorders>
            <w:shd w:val="clear" w:color="auto" w:fill="CCCCCC"/>
            <w:vAlign w:val="center"/>
          </w:tcPr>
          <w:p w14:paraId="335DF2C6" w14:textId="77777777" w:rsidR="00327BC7" w:rsidRPr="009F23EB" w:rsidRDefault="00327BC7" w:rsidP="004A7095">
            <w:pPr>
              <w:jc w:val="center"/>
              <w:rPr>
                <w:b/>
                <w:sz w:val="20"/>
                <w:szCs w:val="20"/>
                <w:lang w:val="hr-BA"/>
              </w:rPr>
            </w:pPr>
            <w:r w:rsidRPr="00286D9D">
              <w:rPr>
                <w:b/>
                <w:sz w:val="20"/>
                <w:szCs w:val="20"/>
              </w:rPr>
              <w:t xml:space="preserve">Explanation of </w:t>
            </w:r>
            <w:r>
              <w:rPr>
                <w:b/>
                <w:sz w:val="20"/>
                <w:szCs w:val="20"/>
              </w:rPr>
              <w:t>credits point</w:t>
            </w:r>
          </w:p>
        </w:tc>
        <w:tc>
          <w:tcPr>
            <w:tcW w:w="6974" w:type="dxa"/>
            <w:gridSpan w:val="4"/>
            <w:tcBorders>
              <w:left w:val="double" w:sz="4" w:space="0" w:color="auto"/>
            </w:tcBorders>
            <w:shd w:val="clear" w:color="auto" w:fill="FFFFFF" w:themeFill="background1"/>
            <w:vAlign w:val="center"/>
          </w:tcPr>
          <w:p w14:paraId="0D26FB1D" w14:textId="77777777" w:rsidR="00EE2150" w:rsidRPr="00EE2150" w:rsidRDefault="00EE2150" w:rsidP="00EE2150">
            <w:pPr>
              <w:jc w:val="both"/>
              <w:rPr>
                <w:sz w:val="20"/>
                <w:szCs w:val="20"/>
              </w:rPr>
            </w:pPr>
            <w:r w:rsidRPr="00EE2150">
              <w:rPr>
                <w:sz w:val="20"/>
                <w:szCs w:val="20"/>
              </w:rPr>
              <w:t>Total load for the course in the semester:</w:t>
            </w:r>
          </w:p>
          <w:p w14:paraId="2B7C4787" w14:textId="77777777" w:rsidR="00EE2150" w:rsidRPr="00EE2150" w:rsidRDefault="00EE2150" w:rsidP="00EE2150">
            <w:pPr>
              <w:jc w:val="both"/>
              <w:rPr>
                <w:sz w:val="20"/>
                <w:szCs w:val="20"/>
              </w:rPr>
            </w:pPr>
            <w:r w:rsidRPr="00EE2150">
              <w:rPr>
                <w:sz w:val="20"/>
                <w:szCs w:val="20"/>
              </w:rPr>
              <w:t>Lectures: 30 h</w:t>
            </w:r>
          </w:p>
          <w:p w14:paraId="59D0BE2A" w14:textId="77777777" w:rsidR="00EE2150" w:rsidRPr="00EE2150" w:rsidRDefault="00EE2150" w:rsidP="00EE2150">
            <w:pPr>
              <w:jc w:val="both"/>
              <w:rPr>
                <w:sz w:val="20"/>
                <w:szCs w:val="20"/>
              </w:rPr>
            </w:pPr>
            <w:r w:rsidRPr="00EE2150">
              <w:rPr>
                <w:sz w:val="20"/>
                <w:szCs w:val="20"/>
              </w:rPr>
              <w:t>Exercises: 30 h</w:t>
            </w:r>
          </w:p>
          <w:p w14:paraId="381C2CF9" w14:textId="77777777" w:rsidR="00EE2150" w:rsidRPr="00EE2150" w:rsidRDefault="00EE2150" w:rsidP="00EE2150">
            <w:pPr>
              <w:jc w:val="both"/>
              <w:rPr>
                <w:sz w:val="20"/>
                <w:szCs w:val="20"/>
              </w:rPr>
            </w:pPr>
            <w:r w:rsidRPr="00EE2150">
              <w:rPr>
                <w:sz w:val="20"/>
                <w:szCs w:val="20"/>
              </w:rPr>
              <w:t>Independent work: 60 h</w:t>
            </w:r>
          </w:p>
          <w:p w14:paraId="2BF60C86" w14:textId="77777777" w:rsidR="00EE2150" w:rsidRPr="00EE2150" w:rsidRDefault="00EE2150" w:rsidP="00EE2150">
            <w:pPr>
              <w:jc w:val="both"/>
              <w:rPr>
                <w:sz w:val="20"/>
                <w:szCs w:val="20"/>
              </w:rPr>
            </w:pPr>
            <w:r w:rsidRPr="00EE2150">
              <w:rPr>
                <w:sz w:val="20"/>
                <w:szCs w:val="20"/>
              </w:rPr>
              <w:t>Program assignment: 30 h</w:t>
            </w:r>
          </w:p>
          <w:p w14:paraId="363761E8" w14:textId="194B2FC6" w:rsidR="00327BC7" w:rsidRPr="00CB2788" w:rsidRDefault="00EE2150" w:rsidP="00EE2150">
            <w:pPr>
              <w:jc w:val="both"/>
              <w:rPr>
                <w:color w:val="FFFFFF"/>
                <w:sz w:val="20"/>
                <w:szCs w:val="20"/>
              </w:rPr>
            </w:pPr>
            <w:r w:rsidRPr="00EE2150">
              <w:rPr>
                <w:sz w:val="20"/>
                <w:szCs w:val="20"/>
              </w:rPr>
              <w:t>TOTAL 150 h / 25 = 6 ECTS</w:t>
            </w:r>
          </w:p>
        </w:tc>
      </w:tr>
      <w:tr w:rsidR="00327BC7" w:rsidRPr="009F23EB" w14:paraId="19262CC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0F839C6" w14:textId="77777777" w:rsidR="00327BC7" w:rsidRPr="009F23EB" w:rsidRDefault="00327BC7" w:rsidP="004A7095">
            <w:pPr>
              <w:jc w:val="center"/>
              <w:rPr>
                <w:b/>
                <w:sz w:val="20"/>
                <w:szCs w:val="20"/>
                <w:lang w:val="hr-BA"/>
              </w:rPr>
            </w:pPr>
            <w:r>
              <w:rPr>
                <w:b/>
                <w:sz w:val="20"/>
                <w:szCs w:val="20"/>
              </w:rPr>
              <w:t>The aim of modul</w:t>
            </w:r>
          </w:p>
        </w:tc>
        <w:tc>
          <w:tcPr>
            <w:tcW w:w="6974" w:type="dxa"/>
            <w:gridSpan w:val="4"/>
            <w:tcBorders>
              <w:left w:val="double" w:sz="4" w:space="0" w:color="auto"/>
            </w:tcBorders>
            <w:vAlign w:val="center"/>
          </w:tcPr>
          <w:p w14:paraId="1D6725E9" w14:textId="516439D7" w:rsidR="00327BC7" w:rsidRPr="000E0090" w:rsidRDefault="00D16953" w:rsidP="00945D89">
            <w:pPr>
              <w:spacing w:before="0" w:after="0" w:line="276" w:lineRule="auto"/>
              <w:rPr>
                <w:sz w:val="20"/>
                <w:szCs w:val="20"/>
                <w:lang w:val="en-US"/>
              </w:rPr>
            </w:pPr>
            <w:r w:rsidRPr="00D16953">
              <w:rPr>
                <w:sz w:val="20"/>
                <w:szCs w:val="20"/>
                <w:lang w:val="en-US"/>
              </w:rPr>
              <w:t xml:space="preserve">Acquaintance of students with the potential of wind energy, the current state and possibilities of its application, the main principles of transformation of the kinetic energy of the wind into electrical energy, and the types, constructive </w:t>
            </w:r>
            <w:proofErr w:type="gramStart"/>
            <w:r w:rsidRPr="00D16953">
              <w:rPr>
                <w:sz w:val="20"/>
                <w:szCs w:val="20"/>
                <w:lang w:val="en-US"/>
              </w:rPr>
              <w:t>elements</w:t>
            </w:r>
            <w:proofErr w:type="gramEnd"/>
            <w:r w:rsidRPr="00D16953">
              <w:rPr>
                <w:sz w:val="20"/>
                <w:szCs w:val="20"/>
                <w:lang w:val="en-US"/>
              </w:rPr>
              <w:t xml:space="preserve"> and exploitation characteristics of wind turbines. Development of knowledge, skills and competencies for independent and </w:t>
            </w:r>
            <w:proofErr w:type="gramStart"/>
            <w:r w:rsidRPr="00D16953">
              <w:rPr>
                <w:sz w:val="20"/>
                <w:szCs w:val="20"/>
                <w:lang w:val="en-US"/>
              </w:rPr>
              <w:t>team work</w:t>
            </w:r>
            <w:proofErr w:type="gramEnd"/>
            <w:r w:rsidRPr="00D16953">
              <w:rPr>
                <w:sz w:val="20"/>
                <w:szCs w:val="20"/>
                <w:lang w:val="en-US"/>
              </w:rPr>
              <w:t>.</w:t>
            </w:r>
          </w:p>
        </w:tc>
      </w:tr>
      <w:tr w:rsidR="00327BC7" w:rsidRPr="009F23EB" w14:paraId="6E3051F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89136B8" w14:textId="77777777" w:rsidR="00327BC7" w:rsidRPr="0033002E" w:rsidRDefault="00327BC7" w:rsidP="004A7095">
            <w:pPr>
              <w:spacing w:before="0" w:after="0" w:line="240" w:lineRule="auto"/>
              <w:jc w:val="center"/>
              <w:rPr>
                <w:b/>
                <w:sz w:val="20"/>
                <w:szCs w:val="20"/>
                <w:lang w:val="en-US" w:eastAsia="bs-Latn-BA"/>
              </w:rPr>
            </w:pPr>
            <w:r w:rsidRPr="0033002E">
              <w:rPr>
                <w:b/>
                <w:sz w:val="20"/>
                <w:szCs w:val="20"/>
                <w:lang w:val="en-US" w:eastAsia="bs-Latn-BA"/>
              </w:rPr>
              <w:t>Description of general and specific competences (knowledge and skills) / learning outcomes</w:t>
            </w:r>
          </w:p>
          <w:p w14:paraId="25ED1BEB" w14:textId="77777777" w:rsidR="00327BC7" w:rsidRPr="009F23EB" w:rsidRDefault="00327BC7" w:rsidP="004A7095">
            <w:pPr>
              <w:jc w:val="center"/>
              <w:rPr>
                <w:b/>
                <w:sz w:val="20"/>
                <w:szCs w:val="20"/>
                <w:highlight w:val="yellow"/>
                <w:lang w:val="hr-BA"/>
              </w:rPr>
            </w:pPr>
          </w:p>
        </w:tc>
        <w:tc>
          <w:tcPr>
            <w:tcW w:w="6974" w:type="dxa"/>
            <w:gridSpan w:val="4"/>
            <w:tcBorders>
              <w:left w:val="double" w:sz="4" w:space="0" w:color="auto"/>
            </w:tcBorders>
            <w:vAlign w:val="center"/>
          </w:tcPr>
          <w:p w14:paraId="04B350D3" w14:textId="1936319D" w:rsidR="00327BC7" w:rsidRPr="001C09E6" w:rsidRDefault="00D16953" w:rsidP="00945D89">
            <w:pPr>
              <w:spacing w:line="276" w:lineRule="auto"/>
              <w:rPr>
                <w:iCs/>
                <w:spacing w:val="-3"/>
                <w:sz w:val="20"/>
                <w:szCs w:val="18"/>
                <w:lang w:val="hr-BA"/>
              </w:rPr>
            </w:pPr>
            <w:r w:rsidRPr="00D16953">
              <w:rPr>
                <w:iCs/>
                <w:spacing w:val="-3"/>
                <w:sz w:val="20"/>
                <w:szCs w:val="18"/>
              </w:rPr>
              <w:t>After completing and passing the final exam, the student will receive basic theoretical knowledge that he will be able to apply independently or in a team for the analysis and design of wind power plants. They will be able to independently or in a team identify locations suitable for the construction of wind farms, determine the possible production of electricity, choose the appropriate type of wind turbines for a given location, and conduct a basic economic analysis of the plant.</w:t>
            </w:r>
          </w:p>
        </w:tc>
      </w:tr>
      <w:tr w:rsidR="00327BC7" w:rsidRPr="009F23EB" w14:paraId="77EF8D2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EC47998" w14:textId="77777777" w:rsidR="00327BC7" w:rsidRPr="0033002E" w:rsidRDefault="00327BC7" w:rsidP="004A7095">
            <w:pPr>
              <w:spacing w:before="0" w:after="0"/>
              <w:jc w:val="center"/>
              <w:rPr>
                <w:b/>
                <w:sz w:val="20"/>
                <w:szCs w:val="20"/>
                <w:lang w:val="en-US"/>
              </w:rPr>
            </w:pPr>
            <w:r w:rsidRPr="0033002E">
              <w:rPr>
                <w:b/>
                <w:sz w:val="20"/>
                <w:szCs w:val="20"/>
                <w:lang w:val="en-US"/>
              </w:rPr>
              <w:t>Modul description</w:t>
            </w:r>
          </w:p>
          <w:p w14:paraId="62799D8C" w14:textId="77777777" w:rsidR="00327BC7" w:rsidRPr="009F23EB" w:rsidRDefault="00327BC7" w:rsidP="004A7095">
            <w:pPr>
              <w:jc w:val="center"/>
              <w:rPr>
                <w:b/>
                <w:sz w:val="20"/>
                <w:szCs w:val="20"/>
                <w:lang w:val="hr-BA"/>
              </w:rPr>
            </w:pPr>
          </w:p>
        </w:tc>
        <w:tc>
          <w:tcPr>
            <w:tcW w:w="6974" w:type="dxa"/>
            <w:gridSpan w:val="4"/>
            <w:tcBorders>
              <w:left w:val="double" w:sz="4" w:space="0" w:color="auto"/>
            </w:tcBorders>
            <w:vAlign w:val="center"/>
          </w:tcPr>
          <w:p w14:paraId="6FE2870B" w14:textId="1A580115"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 Introductory lecture. Acquaintance of students with subject matter, method of teaching, method of taking exams.</w:t>
            </w:r>
          </w:p>
          <w:p w14:paraId="6063A4AF"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2. Historical overview of the use of wind energy. Potential and perspectives. Different development paths and types of wind turbines.</w:t>
            </w:r>
          </w:p>
          <w:p w14:paraId="69B1B8CB"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3. Statistical indicators. Basic features. Multidisciplinarity of design.</w:t>
            </w:r>
          </w:p>
          <w:p w14:paraId="620B412D"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4. Basic characteristics of wind. Basics of aerodynamic theory. How much power (energy) can be obtained from the wind? Betz's law. Utilization rate. Airfoil theory. Lift force. Resistance force. Examples of resistive devices.</w:t>
            </w:r>
          </w:p>
          <w:p w14:paraId="64D037BB"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lastRenderedPageBreak/>
              <w:t>5. Type speed ratio. Division of wind turbines according to the axis of rotation (horizontal and vertical wind turbines). Flow conditions and aerodynamic forces on the rotor blade.</w:t>
            </w:r>
          </w:p>
          <w:p w14:paraId="22F6FFB7"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6. Dimensioning according to Betz. Rotor solidity. Losses on the scapula.</w:t>
            </w:r>
          </w:p>
          <w:p w14:paraId="78BCCFD7"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7. Basic parts of a wind turbine. Arrangement in the gondola. Rotor. Shovels. Generator. Power transmission. Brakes. Mechanism for turning the nacelle. Pillar. Other equipment.</w:t>
            </w:r>
          </w:p>
          <w:p w14:paraId="7E7E6C6E"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8. Operation (drive) and control. Power curve. Power regulation. Pitch, stall and active stall regulation. The choice of rotor in relation to the characteristics of the dominant wind.</w:t>
            </w:r>
          </w:p>
          <w:p w14:paraId="5312A595"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9. Conditions for the selection of generators and rotors. Site assessment and selection. Statistical data processing. Annual production budget.</w:t>
            </w:r>
          </w:p>
          <w:p w14:paraId="0D671515"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10. Additional items. Sitting wind turbine. Turbulence and eddies in a wind farm. Wind farm losses. Adverse effects on the environment. .</w:t>
            </w:r>
          </w:p>
          <w:p w14:paraId="46A072D6"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11. Logistics. Transportation. Assembly. Maintenance.</w:t>
            </w:r>
          </w:p>
          <w:p w14:paraId="14625C07"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12. Basic economic analysis of the plant, cost overview, methods of economic analysis, market consideration of wind energy.</w:t>
            </w:r>
          </w:p>
          <w:p w14:paraId="1C713BAE"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13. Possibilities of using wind energy in Bosnia and Herzegovina. Atlas of winds in Bosnia and Herzegovina. Possible locations.</w:t>
            </w:r>
          </w:p>
          <w:p w14:paraId="3F0B5276" w14:textId="77777777" w:rsidR="00D16953" w:rsidRPr="00D16953" w:rsidRDefault="00D16953" w:rsidP="00D16953">
            <w:pPr>
              <w:pStyle w:val="Tijeloteksta"/>
              <w:spacing w:line="276" w:lineRule="auto"/>
              <w:rPr>
                <w:rFonts w:ascii="Times New Roman" w:hAnsi="Times New Roman"/>
                <w:iCs/>
                <w:spacing w:val="-3"/>
                <w:sz w:val="20"/>
                <w:szCs w:val="18"/>
                <w:lang w:val="hr-HR"/>
              </w:rPr>
            </w:pPr>
            <w:r w:rsidRPr="00D16953">
              <w:rPr>
                <w:rFonts w:ascii="Times New Roman" w:hAnsi="Times New Roman"/>
                <w:iCs/>
                <w:spacing w:val="-3"/>
                <w:sz w:val="20"/>
                <w:szCs w:val="18"/>
                <w:lang w:val="hr-HR"/>
              </w:rPr>
              <w:t>14. Use of numerical models for calculation of electricity production from wind farms, software tools.</w:t>
            </w:r>
          </w:p>
          <w:p w14:paraId="410F02E9" w14:textId="306740F3" w:rsidR="00327BC7" w:rsidRPr="009F23EB" w:rsidRDefault="00D16953" w:rsidP="00D16953">
            <w:pPr>
              <w:pStyle w:val="Tijeloteksta"/>
              <w:spacing w:after="60" w:line="276" w:lineRule="auto"/>
              <w:rPr>
                <w:rFonts w:ascii="Times New Roman" w:hAnsi="Times New Roman"/>
                <w:b/>
                <w:spacing w:val="-3"/>
                <w:sz w:val="20"/>
                <w:szCs w:val="18"/>
                <w:lang w:val="hr-BA"/>
              </w:rPr>
            </w:pPr>
            <w:r w:rsidRPr="00D16953">
              <w:rPr>
                <w:rFonts w:ascii="Times New Roman" w:hAnsi="Times New Roman"/>
                <w:iCs/>
                <w:spacing w:val="-3"/>
                <w:sz w:val="20"/>
                <w:szCs w:val="18"/>
                <w:lang w:val="hr-HR"/>
              </w:rPr>
              <w:t>15. Legal regulations. Integration of small wind turbines in urban areas, integration of wind turbines with other energy sources.</w:t>
            </w:r>
          </w:p>
        </w:tc>
      </w:tr>
      <w:tr w:rsidR="00327BC7" w:rsidRPr="009F23EB" w14:paraId="03F02E0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C07935F" w14:textId="77777777" w:rsidR="00327BC7" w:rsidRPr="009F23EB" w:rsidRDefault="00327BC7" w:rsidP="004A7095">
            <w:pPr>
              <w:jc w:val="center"/>
              <w:rPr>
                <w:b/>
                <w:sz w:val="20"/>
                <w:szCs w:val="20"/>
                <w:lang w:val="hr-BA"/>
              </w:rPr>
            </w:pPr>
            <w:r>
              <w:rPr>
                <w:b/>
                <w:sz w:val="20"/>
                <w:szCs w:val="20"/>
              </w:rPr>
              <w:lastRenderedPageBreak/>
              <w:t>Teaching / learning methods</w:t>
            </w:r>
          </w:p>
        </w:tc>
        <w:tc>
          <w:tcPr>
            <w:tcW w:w="6974" w:type="dxa"/>
            <w:gridSpan w:val="4"/>
            <w:tcBorders>
              <w:left w:val="double" w:sz="4" w:space="0" w:color="auto"/>
            </w:tcBorders>
            <w:vAlign w:val="center"/>
          </w:tcPr>
          <w:p w14:paraId="4190B80B" w14:textId="77777777" w:rsidR="001C09E6" w:rsidRPr="001C09E6" w:rsidRDefault="001C09E6" w:rsidP="00B46369">
            <w:pPr>
              <w:pStyle w:val="Tijeloteksta"/>
              <w:spacing w:line="276" w:lineRule="auto"/>
              <w:rPr>
                <w:rFonts w:ascii="Times New Roman" w:hAnsi="Times New Roman"/>
                <w:spacing w:val="-3"/>
                <w:sz w:val="20"/>
                <w:szCs w:val="18"/>
                <w:lang w:val="hr-HR" w:eastAsia="hr-HR"/>
              </w:rPr>
            </w:pPr>
            <w:r w:rsidRPr="001C09E6">
              <w:rPr>
                <w:rFonts w:ascii="Times New Roman" w:hAnsi="Times New Roman"/>
                <w:spacing w:val="-3"/>
                <w:sz w:val="20"/>
                <w:szCs w:val="18"/>
                <w:lang w:val="hr-HR" w:eastAsia="hr-HR"/>
              </w:rPr>
              <w:t>Lectures</w:t>
            </w:r>
          </w:p>
          <w:p w14:paraId="67F1677E" w14:textId="77777777" w:rsidR="001C09E6" w:rsidRPr="001C09E6" w:rsidRDefault="001C09E6" w:rsidP="00B46369">
            <w:pPr>
              <w:pStyle w:val="Tijeloteksta"/>
              <w:spacing w:line="276" w:lineRule="auto"/>
              <w:rPr>
                <w:rFonts w:ascii="Times New Roman" w:hAnsi="Times New Roman"/>
                <w:spacing w:val="-3"/>
                <w:sz w:val="20"/>
                <w:szCs w:val="18"/>
                <w:lang w:val="hr-HR" w:eastAsia="hr-HR"/>
              </w:rPr>
            </w:pPr>
            <w:r w:rsidRPr="001C09E6">
              <w:rPr>
                <w:rFonts w:ascii="Times New Roman" w:hAnsi="Times New Roman"/>
                <w:spacing w:val="-3"/>
                <w:sz w:val="20"/>
                <w:szCs w:val="18"/>
                <w:lang w:val="hr-HR" w:eastAsia="hr-HR"/>
              </w:rPr>
              <w:t>Exercises</w:t>
            </w:r>
          </w:p>
          <w:p w14:paraId="5F52BB81" w14:textId="1FCC3ACD" w:rsidR="00327BC7" w:rsidRPr="009F23EB" w:rsidRDefault="001C09E6" w:rsidP="00B46369">
            <w:pPr>
              <w:pStyle w:val="Tijeloteksta"/>
              <w:spacing w:after="60" w:line="276" w:lineRule="auto"/>
              <w:jc w:val="left"/>
              <w:rPr>
                <w:rFonts w:ascii="Times New Roman" w:hAnsi="Times New Roman"/>
                <w:i/>
                <w:spacing w:val="-3"/>
                <w:sz w:val="20"/>
                <w:szCs w:val="18"/>
                <w:lang w:val="hr-BA"/>
              </w:rPr>
            </w:pPr>
            <w:r w:rsidRPr="001C09E6">
              <w:rPr>
                <w:rFonts w:ascii="Times New Roman" w:hAnsi="Times New Roman"/>
                <w:spacing w:val="-3"/>
                <w:sz w:val="20"/>
                <w:szCs w:val="18"/>
                <w:lang w:val="hr-HR" w:eastAsia="hr-HR"/>
              </w:rPr>
              <w:t xml:space="preserve">Field </w:t>
            </w:r>
            <w:r>
              <w:rPr>
                <w:rFonts w:ascii="Times New Roman" w:hAnsi="Times New Roman"/>
                <w:spacing w:val="-3"/>
                <w:sz w:val="20"/>
                <w:szCs w:val="18"/>
                <w:lang w:val="hr-HR" w:eastAsia="hr-HR"/>
              </w:rPr>
              <w:t>lectures</w:t>
            </w:r>
            <w:r w:rsidRPr="001C09E6">
              <w:rPr>
                <w:rFonts w:ascii="Times New Roman" w:hAnsi="Times New Roman"/>
                <w:spacing w:val="-3"/>
                <w:sz w:val="20"/>
                <w:szCs w:val="18"/>
                <w:lang w:val="hr-HR" w:eastAsia="hr-HR"/>
              </w:rPr>
              <w:t>/</w:t>
            </w:r>
            <w:r>
              <w:rPr>
                <w:rFonts w:ascii="Times New Roman" w:hAnsi="Times New Roman"/>
                <w:spacing w:val="-3"/>
                <w:sz w:val="20"/>
                <w:szCs w:val="18"/>
                <w:lang w:val="hr-HR" w:eastAsia="hr-HR"/>
              </w:rPr>
              <w:t>study visit to Wind</w:t>
            </w:r>
            <w:r w:rsidR="008853E3">
              <w:rPr>
                <w:rFonts w:ascii="Times New Roman" w:hAnsi="Times New Roman"/>
                <w:spacing w:val="-3"/>
                <w:sz w:val="20"/>
                <w:szCs w:val="18"/>
                <w:lang w:val="hr-HR" w:eastAsia="hr-HR"/>
              </w:rPr>
              <w:t xml:space="preserve"> P</w:t>
            </w:r>
            <w:r>
              <w:rPr>
                <w:rFonts w:ascii="Times New Roman" w:hAnsi="Times New Roman"/>
                <w:spacing w:val="-3"/>
                <w:sz w:val="20"/>
                <w:szCs w:val="18"/>
                <w:lang w:val="hr-HR" w:eastAsia="hr-HR"/>
              </w:rPr>
              <w:t xml:space="preserve">ower </w:t>
            </w:r>
            <w:r w:rsidR="008853E3">
              <w:rPr>
                <w:rFonts w:ascii="Times New Roman" w:hAnsi="Times New Roman"/>
                <w:spacing w:val="-3"/>
                <w:sz w:val="20"/>
                <w:szCs w:val="18"/>
                <w:lang w:val="hr-HR" w:eastAsia="hr-HR"/>
              </w:rPr>
              <w:t>P</w:t>
            </w:r>
            <w:r>
              <w:rPr>
                <w:rFonts w:ascii="Times New Roman" w:hAnsi="Times New Roman"/>
                <w:spacing w:val="-3"/>
                <w:sz w:val="20"/>
                <w:szCs w:val="18"/>
                <w:lang w:val="hr-HR" w:eastAsia="hr-HR"/>
              </w:rPr>
              <w:t>lant near Mostar</w:t>
            </w:r>
          </w:p>
        </w:tc>
      </w:tr>
      <w:tr w:rsidR="00327BC7" w:rsidRPr="009F23EB" w14:paraId="7EA6B91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F266A68" w14:textId="77777777" w:rsidR="00327BC7" w:rsidRPr="009F23EB" w:rsidRDefault="00327BC7" w:rsidP="004A7095">
            <w:pPr>
              <w:jc w:val="center"/>
              <w:rPr>
                <w:b/>
                <w:sz w:val="20"/>
                <w:szCs w:val="20"/>
                <w:lang w:val="hr-BA"/>
              </w:rPr>
            </w:pPr>
            <w:r w:rsidRPr="0033002E">
              <w:rPr>
                <w:rStyle w:val="hps"/>
                <w:b/>
                <w:sz w:val="20"/>
              </w:rPr>
              <w:t>Examination method and</w:t>
            </w:r>
            <w:r>
              <w:rPr>
                <w:rStyle w:val="hps"/>
                <w:b/>
                <w:sz w:val="20"/>
              </w:rPr>
              <w:t xml:space="preserve"> the weight factor assessment %</w:t>
            </w:r>
          </w:p>
        </w:tc>
        <w:tc>
          <w:tcPr>
            <w:tcW w:w="6974" w:type="dxa"/>
            <w:gridSpan w:val="4"/>
            <w:tcBorders>
              <w:left w:val="double" w:sz="4" w:space="0" w:color="auto"/>
            </w:tcBorders>
            <w:vAlign w:val="center"/>
          </w:tcPr>
          <w:p w14:paraId="10BE1C56"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I Colloquium – 20 points – 20%</w:t>
            </w:r>
          </w:p>
          <w:p w14:paraId="6851C005"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II Colloquium – 20 points – 20%</w:t>
            </w:r>
          </w:p>
          <w:p w14:paraId="2340632C"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Seminar Paper – 20 points – 20%</w:t>
            </w:r>
          </w:p>
          <w:p w14:paraId="78296347"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Final Exam – 35 points – 35%</w:t>
            </w:r>
          </w:p>
          <w:p w14:paraId="6F1473AD" w14:textId="66D281E4" w:rsidR="00327BC7" w:rsidRPr="009F23EB" w:rsidRDefault="00306383" w:rsidP="00306383">
            <w:pPr>
              <w:autoSpaceDE w:val="0"/>
              <w:autoSpaceDN w:val="0"/>
              <w:adjustRightInd w:val="0"/>
              <w:spacing w:before="0" w:after="0" w:line="276" w:lineRule="auto"/>
              <w:rPr>
                <w:sz w:val="20"/>
                <w:szCs w:val="20"/>
                <w:lang w:val="hr-BA"/>
              </w:rPr>
            </w:pPr>
            <w:r w:rsidRPr="00306383">
              <w:rPr>
                <w:sz w:val="20"/>
                <w:szCs w:val="20"/>
              </w:rPr>
              <w:t>Class Attendance – 5 points – 5%</w:t>
            </w:r>
          </w:p>
        </w:tc>
      </w:tr>
      <w:tr w:rsidR="00327BC7" w:rsidRPr="009F23EB" w14:paraId="3101D50C"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D16BFE1" w14:textId="77777777" w:rsidR="00327BC7" w:rsidRPr="009F23EB" w:rsidRDefault="00327BC7" w:rsidP="004A7095">
            <w:pPr>
              <w:jc w:val="center"/>
              <w:rPr>
                <w:b/>
                <w:sz w:val="20"/>
                <w:szCs w:val="20"/>
                <w:lang w:val="hr-BA"/>
              </w:rPr>
            </w:pPr>
            <w:r w:rsidRPr="0033002E">
              <w:rPr>
                <w:rStyle w:val="hps"/>
                <w:b/>
                <w:sz w:val="20"/>
              </w:rPr>
              <w:t>List of basic literature and</w:t>
            </w:r>
            <w:r w:rsidRPr="0033002E">
              <w:rPr>
                <w:b/>
                <w:sz w:val="20"/>
                <w:szCs w:val="20"/>
                <w:lang w:val="en-US"/>
              </w:rPr>
              <w:br/>
            </w:r>
            <w:r w:rsidRPr="0033002E">
              <w:rPr>
                <w:rStyle w:val="hps"/>
                <w:b/>
                <w:sz w:val="20"/>
              </w:rPr>
              <w:t>Internet</w:t>
            </w:r>
            <w:r>
              <w:rPr>
                <w:rStyle w:val="hps"/>
                <w:b/>
                <w:sz w:val="20"/>
              </w:rPr>
              <w:t xml:space="preserve"> </w:t>
            </w:r>
            <w:r w:rsidRPr="0033002E">
              <w:rPr>
                <w:rStyle w:val="hps"/>
                <w:b/>
                <w:sz w:val="20"/>
              </w:rPr>
              <w:t>web</w:t>
            </w:r>
            <w:r>
              <w:rPr>
                <w:rStyle w:val="hps"/>
                <w:b/>
                <w:sz w:val="20"/>
              </w:rPr>
              <w:t xml:space="preserve"> references</w:t>
            </w:r>
          </w:p>
        </w:tc>
        <w:tc>
          <w:tcPr>
            <w:tcW w:w="6974" w:type="dxa"/>
            <w:gridSpan w:val="4"/>
            <w:tcBorders>
              <w:left w:val="double" w:sz="4" w:space="0" w:color="auto"/>
            </w:tcBorders>
            <w:vAlign w:val="center"/>
          </w:tcPr>
          <w:p w14:paraId="5A013166" w14:textId="77777777" w:rsidR="0084717B" w:rsidRDefault="0084717B" w:rsidP="00B46369">
            <w:pPr>
              <w:pStyle w:val="TableParagraph"/>
              <w:numPr>
                <w:ilvl w:val="0"/>
                <w:numId w:val="7"/>
              </w:numPr>
              <w:tabs>
                <w:tab w:val="left" w:pos="379"/>
              </w:tabs>
              <w:spacing w:line="276" w:lineRule="auto"/>
              <w:ind w:right="89"/>
              <w:jc w:val="both"/>
              <w:rPr>
                <w:sz w:val="20"/>
              </w:rPr>
            </w:pPr>
            <w:r>
              <w:rPr>
                <w:sz w:val="20"/>
              </w:rPr>
              <w:t>Gasch R, Twele J: Wind Power Plants – Fundamentals, Design, Construction and Operation, Solarpraxls AG Berlin and James &amp;James Ltd, London</w:t>
            </w:r>
            <w:r>
              <w:rPr>
                <w:spacing w:val="-2"/>
                <w:sz w:val="20"/>
              </w:rPr>
              <w:t xml:space="preserve"> </w:t>
            </w:r>
            <w:r>
              <w:rPr>
                <w:sz w:val="20"/>
              </w:rPr>
              <w:t>2002.</w:t>
            </w:r>
          </w:p>
          <w:p w14:paraId="15F58AD3" w14:textId="77777777" w:rsidR="0084717B" w:rsidRDefault="0084717B" w:rsidP="00B46369">
            <w:pPr>
              <w:pStyle w:val="TableParagraph"/>
              <w:numPr>
                <w:ilvl w:val="0"/>
                <w:numId w:val="7"/>
              </w:numPr>
              <w:tabs>
                <w:tab w:val="left" w:pos="379"/>
              </w:tabs>
              <w:spacing w:line="276" w:lineRule="auto"/>
              <w:ind w:right="86"/>
              <w:jc w:val="both"/>
              <w:rPr>
                <w:sz w:val="20"/>
              </w:rPr>
            </w:pPr>
            <w:r>
              <w:rPr>
                <w:sz w:val="20"/>
              </w:rPr>
              <w:t>Zlomusica E., Wind - Energy sources of the future, in Handbook of Sustainable Engineering, Eds. Lee, Kun-Mo, Kauffman, Joane, Springer- Verlag New York, US,</w:t>
            </w:r>
            <w:r>
              <w:rPr>
                <w:spacing w:val="-4"/>
                <w:sz w:val="20"/>
              </w:rPr>
              <w:t xml:space="preserve"> </w:t>
            </w:r>
            <w:r>
              <w:rPr>
                <w:sz w:val="20"/>
              </w:rPr>
              <w:t>2013.</w:t>
            </w:r>
          </w:p>
          <w:p w14:paraId="3B11B2B6" w14:textId="1609EDD4" w:rsidR="00327BC7" w:rsidRPr="0084717B" w:rsidRDefault="0084717B" w:rsidP="00B46369">
            <w:pPr>
              <w:pStyle w:val="TableParagraph"/>
              <w:numPr>
                <w:ilvl w:val="0"/>
                <w:numId w:val="7"/>
              </w:numPr>
              <w:tabs>
                <w:tab w:val="left" w:pos="379"/>
              </w:tabs>
              <w:spacing w:line="276" w:lineRule="auto"/>
              <w:ind w:right="86"/>
              <w:jc w:val="both"/>
              <w:rPr>
                <w:sz w:val="20"/>
              </w:rPr>
            </w:pPr>
            <w:r w:rsidRPr="0084717B">
              <w:rPr>
                <w:sz w:val="20"/>
              </w:rPr>
              <w:t>Hadžiahmetović, H.,Husika, A., Midžić Kurtagić, S. (2020). Energija vjetra i vjetroelektrane. Mašinski fakultet Sarajevo. CIP 621.548(075.8), ISBN 978-9958-601-87-3.</w:t>
            </w:r>
          </w:p>
        </w:tc>
      </w:tr>
      <w:tr w:rsidR="00327BC7" w:rsidRPr="009F23EB" w14:paraId="0A0AF366" w14:textId="77777777" w:rsidTr="004A7095">
        <w:tc>
          <w:tcPr>
            <w:tcW w:w="3313" w:type="dxa"/>
            <w:tcBorders>
              <w:top w:val="single" w:sz="4" w:space="0" w:color="auto"/>
              <w:bottom w:val="double" w:sz="4" w:space="0" w:color="auto"/>
              <w:right w:val="double" w:sz="4" w:space="0" w:color="auto"/>
            </w:tcBorders>
            <w:shd w:val="clear" w:color="auto" w:fill="CCCCCC"/>
            <w:vAlign w:val="center"/>
          </w:tcPr>
          <w:p w14:paraId="2E56FA89" w14:textId="77777777" w:rsidR="00327BC7" w:rsidRPr="009F23EB" w:rsidRDefault="00327BC7" w:rsidP="004A7095">
            <w:pPr>
              <w:jc w:val="center"/>
              <w:rPr>
                <w:b/>
                <w:sz w:val="20"/>
                <w:szCs w:val="20"/>
                <w:lang w:val="hr-BA"/>
              </w:rPr>
            </w:pPr>
            <w:r w:rsidRPr="0033002E">
              <w:rPr>
                <w:rStyle w:val="hps"/>
                <w:b/>
                <w:sz w:val="20"/>
              </w:rPr>
              <w:t>Monitoring of  quality</w:t>
            </w:r>
            <w:r w:rsidRPr="0033002E">
              <w:rPr>
                <w:rStyle w:val="shorttext"/>
                <w:b/>
                <w:sz w:val="20"/>
                <w:szCs w:val="20"/>
                <w:lang w:val="en-US"/>
              </w:rPr>
              <w:t xml:space="preserve"> and </w:t>
            </w:r>
            <w:r w:rsidRPr="0033002E">
              <w:rPr>
                <w:rStyle w:val="hps"/>
                <w:b/>
                <w:sz w:val="20"/>
              </w:rPr>
              <w:t>efficiency of modul performing</w:t>
            </w:r>
          </w:p>
        </w:tc>
        <w:tc>
          <w:tcPr>
            <w:tcW w:w="6974" w:type="dxa"/>
            <w:gridSpan w:val="4"/>
            <w:tcBorders>
              <w:left w:val="double" w:sz="4" w:space="0" w:color="auto"/>
            </w:tcBorders>
            <w:vAlign w:val="center"/>
          </w:tcPr>
          <w:p w14:paraId="59D6370E" w14:textId="77777777" w:rsidR="00327BC7" w:rsidRPr="009F23EB" w:rsidRDefault="00327BC7" w:rsidP="00B46369">
            <w:pPr>
              <w:spacing w:line="276" w:lineRule="auto"/>
              <w:jc w:val="center"/>
              <w:rPr>
                <w:sz w:val="20"/>
                <w:szCs w:val="20"/>
                <w:lang w:val="hr-BA"/>
              </w:rPr>
            </w:pPr>
            <w:r w:rsidRPr="00560B6C">
              <w:rPr>
                <w:sz w:val="20"/>
                <w:szCs w:val="20"/>
              </w:rPr>
              <w:t xml:space="preserve">An anonymous survey among students on the </w:t>
            </w:r>
            <w:r w:rsidRPr="0033002E">
              <w:rPr>
                <w:sz w:val="20"/>
                <w:szCs w:val="20"/>
                <w:lang w:val="en-US" w:eastAsia="bs-Latn-BA"/>
              </w:rPr>
              <w:t>the success of teaching.</w:t>
            </w:r>
          </w:p>
        </w:tc>
      </w:tr>
    </w:tbl>
    <w:p w14:paraId="61284554" w14:textId="77777777" w:rsidR="000F5913" w:rsidRDefault="000F5913"/>
    <w:sectPr w:rsidR="000F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4D Gothic">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AFB"/>
    <w:multiLevelType w:val="hybridMultilevel"/>
    <w:tmpl w:val="49ACCF88"/>
    <w:lvl w:ilvl="0" w:tplc="3B6886DE">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F938A2"/>
    <w:multiLevelType w:val="hybridMultilevel"/>
    <w:tmpl w:val="9F2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26DC0"/>
    <w:multiLevelType w:val="hybridMultilevel"/>
    <w:tmpl w:val="555E4990"/>
    <w:lvl w:ilvl="0" w:tplc="75781292">
      <w:start w:val="1"/>
      <w:numFmt w:val="decimal"/>
      <w:lvlText w:val="%1."/>
      <w:lvlJc w:val="left"/>
      <w:pPr>
        <w:ind w:left="378" w:hanging="228"/>
        <w:jc w:val="left"/>
      </w:pPr>
      <w:rPr>
        <w:rFonts w:ascii="Times New Roman" w:eastAsia="Times New Roman" w:hAnsi="Times New Roman" w:cs="Times New Roman" w:hint="default"/>
        <w:spacing w:val="0"/>
        <w:w w:val="99"/>
        <w:sz w:val="20"/>
        <w:szCs w:val="20"/>
        <w:lang w:val="bs" w:eastAsia="en-US" w:bidi="ar-SA"/>
      </w:rPr>
    </w:lvl>
    <w:lvl w:ilvl="1" w:tplc="B4EC44CE">
      <w:numFmt w:val="bullet"/>
      <w:lvlText w:val="•"/>
      <w:lvlJc w:val="left"/>
      <w:pPr>
        <w:ind w:left="977" w:hanging="228"/>
      </w:pPr>
      <w:rPr>
        <w:rFonts w:hint="default"/>
        <w:lang w:val="bs" w:eastAsia="en-US" w:bidi="ar-SA"/>
      </w:rPr>
    </w:lvl>
    <w:lvl w:ilvl="2" w:tplc="F2122D4A">
      <w:numFmt w:val="bullet"/>
      <w:lvlText w:val="•"/>
      <w:lvlJc w:val="left"/>
      <w:pPr>
        <w:ind w:left="1574" w:hanging="228"/>
      </w:pPr>
      <w:rPr>
        <w:rFonts w:hint="default"/>
        <w:lang w:val="bs" w:eastAsia="en-US" w:bidi="ar-SA"/>
      </w:rPr>
    </w:lvl>
    <w:lvl w:ilvl="3" w:tplc="E5E8878E">
      <w:numFmt w:val="bullet"/>
      <w:lvlText w:val="•"/>
      <w:lvlJc w:val="left"/>
      <w:pPr>
        <w:ind w:left="2171" w:hanging="228"/>
      </w:pPr>
      <w:rPr>
        <w:rFonts w:hint="default"/>
        <w:lang w:val="bs" w:eastAsia="en-US" w:bidi="ar-SA"/>
      </w:rPr>
    </w:lvl>
    <w:lvl w:ilvl="4" w:tplc="BE0EA17A">
      <w:numFmt w:val="bullet"/>
      <w:lvlText w:val="•"/>
      <w:lvlJc w:val="left"/>
      <w:pPr>
        <w:ind w:left="2768" w:hanging="228"/>
      </w:pPr>
      <w:rPr>
        <w:rFonts w:hint="default"/>
        <w:lang w:val="bs" w:eastAsia="en-US" w:bidi="ar-SA"/>
      </w:rPr>
    </w:lvl>
    <w:lvl w:ilvl="5" w:tplc="77E63C88">
      <w:numFmt w:val="bullet"/>
      <w:lvlText w:val="•"/>
      <w:lvlJc w:val="left"/>
      <w:pPr>
        <w:ind w:left="3365" w:hanging="228"/>
      </w:pPr>
      <w:rPr>
        <w:rFonts w:hint="default"/>
        <w:lang w:val="bs" w:eastAsia="en-US" w:bidi="ar-SA"/>
      </w:rPr>
    </w:lvl>
    <w:lvl w:ilvl="6" w:tplc="BEFECA80">
      <w:numFmt w:val="bullet"/>
      <w:lvlText w:val="•"/>
      <w:lvlJc w:val="left"/>
      <w:pPr>
        <w:ind w:left="3962" w:hanging="228"/>
      </w:pPr>
      <w:rPr>
        <w:rFonts w:hint="default"/>
        <w:lang w:val="bs" w:eastAsia="en-US" w:bidi="ar-SA"/>
      </w:rPr>
    </w:lvl>
    <w:lvl w:ilvl="7" w:tplc="096018D8">
      <w:numFmt w:val="bullet"/>
      <w:lvlText w:val="•"/>
      <w:lvlJc w:val="left"/>
      <w:pPr>
        <w:ind w:left="4559" w:hanging="228"/>
      </w:pPr>
      <w:rPr>
        <w:rFonts w:hint="default"/>
        <w:lang w:val="bs" w:eastAsia="en-US" w:bidi="ar-SA"/>
      </w:rPr>
    </w:lvl>
    <w:lvl w:ilvl="8" w:tplc="6F98B5FA">
      <w:numFmt w:val="bullet"/>
      <w:lvlText w:val="•"/>
      <w:lvlJc w:val="left"/>
      <w:pPr>
        <w:ind w:left="5156" w:hanging="228"/>
      </w:pPr>
      <w:rPr>
        <w:rFonts w:hint="default"/>
        <w:lang w:val="bs" w:eastAsia="en-US" w:bidi="ar-SA"/>
      </w:rPr>
    </w:lvl>
  </w:abstractNum>
  <w:abstractNum w:abstractNumId="3" w15:restartNumberingAfterBreak="0">
    <w:nsid w:val="3AFD3202"/>
    <w:multiLevelType w:val="hybridMultilevel"/>
    <w:tmpl w:val="4E6C1BA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A10E6"/>
    <w:multiLevelType w:val="hybridMultilevel"/>
    <w:tmpl w:val="67DA8B2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C41DB"/>
    <w:multiLevelType w:val="hybridMultilevel"/>
    <w:tmpl w:val="D7F0ADF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6" w15:restartNumberingAfterBreak="0">
    <w:nsid w:val="6FCC33E9"/>
    <w:multiLevelType w:val="hybridMultilevel"/>
    <w:tmpl w:val="BB007F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4903">
    <w:abstractNumId w:val="5"/>
  </w:num>
  <w:num w:numId="2" w16cid:durableId="351615538">
    <w:abstractNumId w:val="0"/>
  </w:num>
  <w:num w:numId="3" w16cid:durableId="1025591573">
    <w:abstractNumId w:val="1"/>
  </w:num>
  <w:num w:numId="4" w16cid:durableId="8873983">
    <w:abstractNumId w:val="4"/>
  </w:num>
  <w:num w:numId="5" w16cid:durableId="78797017">
    <w:abstractNumId w:val="6"/>
  </w:num>
  <w:num w:numId="6" w16cid:durableId="1923174906">
    <w:abstractNumId w:val="3"/>
  </w:num>
  <w:num w:numId="7" w16cid:durableId="53222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C7"/>
    <w:rsid w:val="00055DBF"/>
    <w:rsid w:val="00066BCC"/>
    <w:rsid w:val="000C4097"/>
    <w:rsid w:val="000F5913"/>
    <w:rsid w:val="001C09E6"/>
    <w:rsid w:val="002A1520"/>
    <w:rsid w:val="00306383"/>
    <w:rsid w:val="00327BC7"/>
    <w:rsid w:val="0084717B"/>
    <w:rsid w:val="008853E3"/>
    <w:rsid w:val="00945D89"/>
    <w:rsid w:val="00B46369"/>
    <w:rsid w:val="00D16953"/>
    <w:rsid w:val="00D56E78"/>
    <w:rsid w:val="00EE215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5220"/>
  <w15:chartTrackingRefBased/>
  <w15:docId w15:val="{360CDDB2-C5E8-46BF-90FE-ACE1937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327BC7"/>
    <w:pPr>
      <w:spacing w:before="60" w:after="60" w:line="300" w:lineRule="auto"/>
    </w:pPr>
    <w:rPr>
      <w:rFonts w:ascii="Times New Roman" w:eastAsia="Times New Roman" w:hAnsi="Times New Roman" w:cs="Times New Roman"/>
      <w:sz w:val="24"/>
      <w:szCs w:val="24"/>
      <w:lang w:val="hr-HR" w:eastAsia="hr-HR"/>
    </w:rPr>
  </w:style>
  <w:style w:type="paragraph" w:styleId="Naslov1">
    <w:name w:val="heading 1"/>
    <w:basedOn w:val="Normalno"/>
    <w:next w:val="Normalno"/>
    <w:link w:val="Naslov1Znak"/>
    <w:qFormat/>
    <w:rsid w:val="00327BC7"/>
    <w:pPr>
      <w:keepNext/>
      <w:spacing w:before="240"/>
      <w:outlineLvl w:val="0"/>
    </w:pPr>
    <w:rPr>
      <w:rFonts w:ascii="Arial" w:hAnsi="Arial" w:cs="Arial"/>
      <w:b/>
      <w:bCs/>
      <w:kern w:val="32"/>
      <w:sz w:val="32"/>
      <w:szCs w:val="32"/>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rsid w:val="00327BC7"/>
    <w:rPr>
      <w:rFonts w:ascii="Arial" w:eastAsia="Times New Roman" w:hAnsi="Arial" w:cs="Arial"/>
      <w:b/>
      <w:bCs/>
      <w:kern w:val="32"/>
      <w:sz w:val="32"/>
      <w:szCs w:val="32"/>
      <w:lang w:val="hr-HR" w:eastAsia="hr-HR"/>
    </w:rPr>
  </w:style>
  <w:style w:type="character" w:customStyle="1" w:styleId="shorttext">
    <w:name w:val="short_text"/>
    <w:basedOn w:val="Zadanifontparagrafa"/>
    <w:rsid w:val="00327BC7"/>
  </w:style>
  <w:style w:type="character" w:customStyle="1" w:styleId="hps">
    <w:name w:val="hps"/>
    <w:basedOn w:val="Zadanifontparagrafa"/>
    <w:rsid w:val="00327BC7"/>
  </w:style>
  <w:style w:type="character" w:styleId="Hiperveza">
    <w:name w:val="Hyperlink"/>
    <w:basedOn w:val="Zadanifontparagrafa"/>
    <w:uiPriority w:val="99"/>
    <w:unhideWhenUsed/>
    <w:rsid w:val="00327BC7"/>
    <w:rPr>
      <w:color w:val="0563C1" w:themeColor="hyperlink"/>
      <w:u w:val="single"/>
    </w:rPr>
  </w:style>
  <w:style w:type="paragraph" w:styleId="Tijeloteksta">
    <w:name w:val="Body Text"/>
    <w:aliases w:val="  uvlaka 2, uvlaka 3,uvlaka 2,uvlaka 3"/>
    <w:basedOn w:val="Normalno"/>
    <w:link w:val="TijelotekstaZnak"/>
    <w:rsid w:val="00327BC7"/>
    <w:pPr>
      <w:spacing w:before="0" w:after="0" w:line="240" w:lineRule="auto"/>
      <w:jc w:val="both"/>
    </w:pPr>
    <w:rPr>
      <w:rFonts w:ascii="4D Gothic" w:hAnsi="4D Gothic"/>
      <w:szCs w:val="20"/>
      <w:lang w:val="en-US" w:eastAsia="en-US"/>
    </w:rPr>
  </w:style>
  <w:style w:type="character" w:customStyle="1" w:styleId="TijelotekstaZnak">
    <w:name w:val="Tijelo teksta Znak"/>
    <w:aliases w:val="  uvlaka 2 Znak, uvlaka 3 Znak,uvlaka 2 Znak,uvlaka 3 Znak"/>
    <w:basedOn w:val="Zadanifontparagrafa"/>
    <w:link w:val="Tijeloteksta"/>
    <w:rsid w:val="00327BC7"/>
    <w:rPr>
      <w:rFonts w:ascii="4D Gothic" w:eastAsia="Times New Roman" w:hAnsi="4D Gothic" w:cs="Times New Roman"/>
      <w:sz w:val="24"/>
      <w:szCs w:val="20"/>
      <w:lang w:val="en-US"/>
    </w:rPr>
  </w:style>
  <w:style w:type="paragraph" w:customStyle="1" w:styleId="TableParagraph">
    <w:name w:val="Table Paragraph"/>
    <w:basedOn w:val="Normalno"/>
    <w:uiPriority w:val="1"/>
    <w:qFormat/>
    <w:rsid w:val="0084717B"/>
    <w:pPr>
      <w:widowControl w:val="0"/>
      <w:autoSpaceDE w:val="0"/>
      <w:autoSpaceDN w:val="0"/>
      <w:spacing w:before="0" w:after="0" w:line="240" w:lineRule="auto"/>
    </w:pPr>
    <w:rPr>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5053">
      <w:bodyDiv w:val="1"/>
      <w:marLeft w:val="0"/>
      <w:marRight w:val="0"/>
      <w:marTop w:val="0"/>
      <w:marBottom w:val="0"/>
      <w:divBdr>
        <w:top w:val="none" w:sz="0" w:space="0" w:color="auto"/>
        <w:left w:val="none" w:sz="0" w:space="0" w:color="auto"/>
        <w:bottom w:val="none" w:sz="0" w:space="0" w:color="auto"/>
        <w:right w:val="none" w:sz="0" w:space="0" w:color="auto"/>
      </w:divBdr>
    </w:div>
    <w:div w:id="1701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Merima</dc:creator>
  <cp:keywords/>
  <dc:description/>
  <cp:lastModifiedBy>Damir Špago</cp:lastModifiedBy>
  <cp:revision>13</cp:revision>
  <dcterms:created xsi:type="dcterms:W3CDTF">2024-01-26T09:02:00Z</dcterms:created>
  <dcterms:modified xsi:type="dcterms:W3CDTF">2024-04-05T09:17:00Z</dcterms:modified>
</cp:coreProperties>
</file>