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A1" w:rsidRDefault="00EE2DA1" w:rsidP="00007A0C">
      <w:pPr>
        <w:rPr>
          <w:spacing w:val="-3"/>
          <w:sz w:val="20"/>
          <w:szCs w:val="18"/>
        </w:rPr>
      </w:pPr>
    </w:p>
    <w:tbl>
      <w:tblPr>
        <w:tblW w:w="10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2484"/>
        <w:gridCol w:w="1277"/>
        <w:gridCol w:w="1275"/>
        <w:gridCol w:w="1938"/>
      </w:tblGrid>
      <w:tr w:rsidR="0027558B" w:rsidRPr="004D200B">
        <w:trPr>
          <w:trHeight w:val="524"/>
        </w:trPr>
        <w:tc>
          <w:tcPr>
            <w:tcW w:w="10287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4D200B" w:rsidRPr="00C82ECA" w:rsidRDefault="008F095B" w:rsidP="004D200B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pacing w:val="-3"/>
                <w:sz w:val="20"/>
                <w:szCs w:val="20"/>
              </w:rPr>
            </w:pPr>
            <w:r>
              <w:rPr>
                <w:rFonts w:eastAsiaTheme="majorEastAsia"/>
                <w:b/>
                <w:spacing w:val="-3"/>
                <w:sz w:val="20"/>
                <w:szCs w:val="20"/>
              </w:rPr>
              <w:t>DZEMAL BIJEDIC UNIVERSITY OF MOSTAR</w:t>
            </w:r>
          </w:p>
          <w:p w:rsidR="0027558B" w:rsidRPr="004D200B" w:rsidRDefault="008F095B" w:rsidP="004D200B">
            <w:pPr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rFonts w:eastAsiaTheme="majorEastAsia"/>
                <w:b/>
                <w:spacing w:val="-3"/>
                <w:sz w:val="20"/>
                <w:szCs w:val="20"/>
                <w:lang w:val="pl-PL"/>
              </w:rPr>
              <w:t>TOURISM STUDIES</w:t>
            </w:r>
            <w:r w:rsidR="004D200B" w:rsidRPr="00C82ECA">
              <w:rPr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</w:p>
        </w:tc>
      </w:tr>
      <w:tr w:rsidR="0027558B" w:rsidRPr="004D200B">
        <w:trPr>
          <w:trHeight w:val="524"/>
        </w:trPr>
        <w:tc>
          <w:tcPr>
            <w:tcW w:w="331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27558B" w:rsidRPr="004D200B" w:rsidRDefault="008F095B" w:rsidP="00565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  <w:r w:rsidR="0027558B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76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7558B" w:rsidRPr="004D200B" w:rsidRDefault="005C7331" w:rsidP="004D200B">
            <w:pPr>
              <w:pStyle w:val="Heading1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FINANCIAL MANAGEMENT</w:t>
            </w:r>
            <w:r w:rsidR="004D200B">
              <w:rPr>
                <w:rFonts w:ascii="Times New Roman" w:hAnsi="Times New Roman"/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3213" w:type="dxa"/>
            <w:gridSpan w:val="2"/>
            <w:tcBorders>
              <w:top w:val="double" w:sz="4" w:space="0" w:color="auto"/>
            </w:tcBorders>
            <w:vAlign w:val="center"/>
          </w:tcPr>
          <w:p w:rsidR="0027558B" w:rsidRPr="004D200B" w:rsidRDefault="008F095B" w:rsidP="00FF731C">
            <w:pPr>
              <w:pStyle w:val="Heading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Code</w:t>
            </w:r>
            <w:r w:rsidR="0027558B" w:rsidRPr="004D200B">
              <w:rPr>
                <w:rFonts w:ascii="Times New Roman" w:hAnsi="Times New Roman"/>
                <w:b/>
                <w:sz w:val="20"/>
              </w:rPr>
              <w:t>:</w:t>
            </w:r>
            <w:r w:rsidR="00276511" w:rsidRPr="004D200B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E504A">
              <w:rPr>
                <w:rFonts w:ascii="Times New Roman" w:hAnsi="Times New Roman"/>
                <w:b/>
                <w:sz w:val="20"/>
              </w:rPr>
              <w:t>ST208</w:t>
            </w:r>
          </w:p>
        </w:tc>
        <w:bookmarkStart w:id="0" w:name="_GoBack"/>
        <w:bookmarkEnd w:id="0"/>
      </w:tr>
      <w:tr w:rsidR="004D200B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D200B" w:rsidRPr="004D200B" w:rsidRDefault="008F095B" w:rsidP="004D2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Studies level, year of study, semester </w:t>
            </w:r>
          </w:p>
        </w:tc>
        <w:tc>
          <w:tcPr>
            <w:tcW w:w="3761" w:type="dxa"/>
            <w:gridSpan w:val="2"/>
            <w:tcBorders>
              <w:left w:val="double" w:sz="4" w:space="0" w:color="auto"/>
            </w:tcBorders>
            <w:vAlign w:val="center"/>
          </w:tcPr>
          <w:p w:rsidR="004D200B" w:rsidRPr="00C82ECA" w:rsidRDefault="008F095B" w:rsidP="009E5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academic undergraduate studies </w:t>
            </w:r>
          </w:p>
        </w:tc>
        <w:tc>
          <w:tcPr>
            <w:tcW w:w="3213" w:type="dxa"/>
            <w:gridSpan w:val="2"/>
            <w:vAlign w:val="center"/>
          </w:tcPr>
          <w:p w:rsidR="004D200B" w:rsidRPr="00C82ECA" w:rsidRDefault="008F095B" w:rsidP="004D2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  <w:r w:rsidR="004D200B" w:rsidRPr="00C82ECA">
              <w:rPr>
                <w:sz w:val="20"/>
                <w:szCs w:val="20"/>
              </w:rPr>
              <w:t>: I</w:t>
            </w:r>
            <w:r w:rsidR="004D200B">
              <w:rPr>
                <w:sz w:val="20"/>
                <w:szCs w:val="20"/>
              </w:rPr>
              <w:t>I</w:t>
            </w:r>
            <w:r w:rsidR="004D200B" w:rsidRPr="00C82ECA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semester</w:t>
            </w:r>
            <w:r w:rsidR="004D200B" w:rsidRPr="00C82ECA">
              <w:rPr>
                <w:sz w:val="20"/>
                <w:szCs w:val="20"/>
              </w:rPr>
              <w:t xml:space="preserve">: </w:t>
            </w:r>
            <w:r w:rsidR="004D200B">
              <w:rPr>
                <w:sz w:val="20"/>
                <w:szCs w:val="20"/>
              </w:rPr>
              <w:t>4</w:t>
            </w:r>
          </w:p>
        </w:tc>
      </w:tr>
      <w:tr w:rsidR="00565633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65633" w:rsidRPr="004D200B" w:rsidRDefault="008F095B" w:rsidP="00565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Lecturer</w:t>
            </w:r>
            <w:r w:rsidR="00565633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565633" w:rsidRPr="004D200B" w:rsidRDefault="004D200B" w:rsidP="00565633">
            <w:pPr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Azra Bajramović </w:t>
            </w:r>
            <w:r w:rsidR="008F095B">
              <w:rPr>
                <w:spacing w:val="-3"/>
                <w:sz w:val="20"/>
                <w:szCs w:val="20"/>
              </w:rPr>
              <w:t>, PhD, associate professor</w:t>
            </w:r>
          </w:p>
        </w:tc>
      </w:tr>
      <w:tr w:rsidR="00565633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65633" w:rsidRPr="004D200B" w:rsidRDefault="008F095B" w:rsidP="00565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details</w:t>
            </w:r>
            <w:r w:rsidR="00565633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565633" w:rsidRPr="004D200B" w:rsidRDefault="008F095B" w:rsidP="00035039">
            <w:pPr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Address</w:t>
            </w:r>
            <w:r w:rsidR="009E504A">
              <w:rPr>
                <w:spacing w:val="-3"/>
                <w:sz w:val="20"/>
                <w:szCs w:val="20"/>
              </w:rPr>
              <w:t xml:space="preserve">: </w:t>
            </w:r>
            <w:r>
              <w:rPr>
                <w:spacing w:val="-3"/>
                <w:sz w:val="20"/>
                <w:szCs w:val="20"/>
              </w:rPr>
              <w:t>Dzemal Bijedic University of Mostar, Faculty of Economics</w:t>
            </w:r>
            <w:r w:rsidR="009E504A">
              <w:rPr>
                <w:spacing w:val="-3"/>
                <w:sz w:val="20"/>
                <w:szCs w:val="20"/>
              </w:rPr>
              <w:t xml:space="preserve">                            email: azra.bajramovic@unmo.ba                                                           tel. 036/514-924                                                                   </w:t>
            </w:r>
          </w:p>
        </w:tc>
      </w:tr>
      <w:tr w:rsidR="004D200B" w:rsidRPr="004D200B" w:rsidTr="000C753C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D200B" w:rsidRPr="004D200B" w:rsidRDefault="008F095B" w:rsidP="004D2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number of teaching hours</w:t>
            </w:r>
            <w:r w:rsidR="004D200B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84" w:type="dxa"/>
            <w:tcBorders>
              <w:left w:val="double" w:sz="4" w:space="0" w:color="auto"/>
            </w:tcBorders>
          </w:tcPr>
          <w:p w:rsidR="004D200B" w:rsidRPr="00C82ECA" w:rsidRDefault="000C753C" w:rsidP="004D2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Lectures (we</w:t>
            </w:r>
            <w:r w:rsidR="004C40D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kly hours)</w:t>
            </w:r>
            <w:r w:rsidR="004D200B" w:rsidRPr="00C82ECA">
              <w:rPr>
                <w:sz w:val="20"/>
                <w:szCs w:val="20"/>
              </w:rPr>
              <w:t>: 2</w:t>
            </w:r>
          </w:p>
          <w:p w:rsidR="004D200B" w:rsidRPr="00C82ECA" w:rsidRDefault="004D200B" w:rsidP="004D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4D200B" w:rsidRPr="00C82ECA" w:rsidRDefault="000C753C" w:rsidP="004D200B">
            <w:pPr>
              <w:jc w:val="center"/>
              <w:rPr>
                <w:sz w:val="20"/>
                <w:szCs w:val="20"/>
              </w:rPr>
            </w:pPr>
            <w:bookmarkStart w:id="1" w:name="_Hlk178091"/>
            <w:r>
              <w:rPr>
                <w:sz w:val="20"/>
                <w:szCs w:val="20"/>
              </w:rPr>
              <w:t>Exercises</w:t>
            </w:r>
            <w:bookmarkEnd w:id="1"/>
            <w:r>
              <w:rPr>
                <w:sz w:val="20"/>
                <w:szCs w:val="20"/>
              </w:rPr>
              <w:t xml:space="preserve"> (we</w:t>
            </w:r>
            <w:r w:rsidR="004C40D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kly hours)</w:t>
            </w:r>
            <w:r w:rsidR="004D200B" w:rsidRPr="00C82ECA">
              <w:rPr>
                <w:sz w:val="20"/>
                <w:szCs w:val="20"/>
              </w:rPr>
              <w:t>: 2</w:t>
            </w:r>
          </w:p>
        </w:tc>
        <w:tc>
          <w:tcPr>
            <w:tcW w:w="1938" w:type="dxa"/>
          </w:tcPr>
          <w:p w:rsidR="004D200B" w:rsidRPr="00C82ECA" w:rsidRDefault="000C753C" w:rsidP="004D2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of hours</w:t>
            </w:r>
            <w:r w:rsidR="004D200B">
              <w:rPr>
                <w:sz w:val="20"/>
                <w:szCs w:val="20"/>
              </w:rPr>
              <w:t>: 6</w:t>
            </w:r>
            <w:r w:rsidR="004D200B" w:rsidRPr="00C82ECA">
              <w:rPr>
                <w:sz w:val="20"/>
                <w:szCs w:val="20"/>
              </w:rPr>
              <w:t>0</w:t>
            </w:r>
          </w:p>
        </w:tc>
      </w:tr>
      <w:tr w:rsidR="004D200B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D200B" w:rsidRPr="004D200B" w:rsidRDefault="000C753C" w:rsidP="004D2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 points</w:t>
            </w:r>
            <w:r w:rsidR="004C40D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D200B" w:rsidRPr="00C82ECA" w:rsidRDefault="004D200B" w:rsidP="004D200B">
            <w:pPr>
              <w:jc w:val="center"/>
              <w:rPr>
                <w:sz w:val="20"/>
                <w:szCs w:val="20"/>
              </w:rPr>
            </w:pPr>
            <w:r w:rsidRPr="00C82ECA">
              <w:rPr>
                <w:sz w:val="20"/>
                <w:szCs w:val="20"/>
              </w:rPr>
              <w:t>5 ECTS</w:t>
            </w:r>
          </w:p>
        </w:tc>
      </w:tr>
      <w:tr w:rsidR="004D200B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D200B" w:rsidRPr="004D200B" w:rsidRDefault="000C753C" w:rsidP="004D2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</w:t>
            </w:r>
            <w:r w:rsidR="004D200B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D200B" w:rsidRPr="00C82ECA" w:rsidRDefault="004D200B" w:rsidP="004D2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Bachelor </w:t>
            </w:r>
            <w:r w:rsidR="000C753C">
              <w:rPr>
                <w:sz w:val="20"/>
                <w:szCs w:val="20"/>
              </w:rPr>
              <w:t>of Management in tourism</w:t>
            </w:r>
          </w:p>
        </w:tc>
      </w:tr>
      <w:tr w:rsidR="004D200B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D200B" w:rsidRPr="004D200B" w:rsidRDefault="000C753C" w:rsidP="004D2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 status</w:t>
            </w:r>
            <w:r w:rsidR="004D200B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D200B" w:rsidRPr="00C82ECA" w:rsidRDefault="000C753C" w:rsidP="004D2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Obligatory</w:t>
            </w:r>
          </w:p>
        </w:tc>
      </w:tr>
      <w:tr w:rsidR="004D200B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D200B" w:rsidRPr="004D200B" w:rsidRDefault="000C753C" w:rsidP="004D2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Preconditions for the subject</w:t>
            </w:r>
            <w:r w:rsidR="004D200B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D200B" w:rsidRPr="00C82ECA" w:rsidRDefault="000C753C" w:rsidP="004D2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4D200B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D200B" w:rsidRPr="004D200B" w:rsidRDefault="000C753C" w:rsidP="004D2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Limitations</w:t>
            </w:r>
            <w:r w:rsidR="004D200B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D200B" w:rsidRPr="00C82ECA" w:rsidRDefault="000C753C" w:rsidP="004D2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for students of Tourism studies</w:t>
            </w:r>
          </w:p>
        </w:tc>
      </w:tr>
      <w:tr w:rsidR="004D200B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D200B" w:rsidRPr="004D200B" w:rsidRDefault="000C753C" w:rsidP="004D2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Justification for the assigned ECTS</w:t>
            </w:r>
            <w:r w:rsidR="004D200B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D200B" w:rsidRPr="00C82ECA" w:rsidRDefault="000C753C" w:rsidP="004D20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ECTS points corresponds to the number of hours necessary for teaching hours and exam preparation. </w:t>
            </w:r>
          </w:p>
        </w:tc>
      </w:tr>
      <w:tr w:rsidR="00565633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65633" w:rsidRPr="004D200B" w:rsidRDefault="000C753C" w:rsidP="00565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 of the subject</w:t>
            </w:r>
            <w:r w:rsidR="00BD6724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565633" w:rsidRPr="004D200B" w:rsidRDefault="000C753C" w:rsidP="009E504A">
            <w:pPr>
              <w:jc w:val="both"/>
              <w:rPr>
                <w:spacing w:val="-3"/>
                <w:sz w:val="20"/>
                <w:szCs w:val="20"/>
              </w:rPr>
            </w:pPr>
            <w:bookmarkStart w:id="2" w:name="_Hlk178030"/>
            <w:r>
              <w:rPr>
                <w:spacing w:val="-3"/>
                <w:sz w:val="20"/>
                <w:szCs w:val="20"/>
              </w:rPr>
              <w:t xml:space="preserve">Objective of this subject is </w:t>
            </w:r>
            <w:r w:rsidR="000041C7">
              <w:rPr>
                <w:spacing w:val="-3"/>
                <w:sz w:val="20"/>
                <w:szCs w:val="20"/>
              </w:rPr>
              <w:t>t</w:t>
            </w:r>
            <w:r>
              <w:rPr>
                <w:spacing w:val="-3"/>
                <w:sz w:val="20"/>
                <w:szCs w:val="20"/>
              </w:rPr>
              <w:t>o introduce students to key theoretical concepts of financial management in firms and different techniques that could be used</w:t>
            </w:r>
            <w:r w:rsidR="000041C7">
              <w:rPr>
                <w:spacing w:val="-3"/>
                <w:sz w:val="20"/>
                <w:szCs w:val="20"/>
              </w:rPr>
              <w:t xml:space="preserve"> for financial decision making in  business organizations in tourism.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bookmarkEnd w:id="2"/>
          </w:p>
        </w:tc>
      </w:tr>
      <w:tr w:rsidR="00AB4219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B4219" w:rsidRPr="004D200B" w:rsidRDefault="000041C7" w:rsidP="0062303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bookmarkStart w:id="3" w:name="_Hlk177945"/>
            <w:r>
              <w:rPr>
                <w:b/>
                <w:sz w:val="20"/>
                <w:szCs w:val="20"/>
              </w:rPr>
              <w:t xml:space="preserve">Generic and specific competencies (knowledge and skills) / learning outcomes: </w:t>
            </w:r>
            <w:bookmarkEnd w:id="3"/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AB4219" w:rsidRPr="004D200B" w:rsidRDefault="000041C7" w:rsidP="006203CF">
            <w:pPr>
              <w:rPr>
                <w:spacing w:val="-3"/>
                <w:sz w:val="20"/>
                <w:szCs w:val="20"/>
              </w:rPr>
            </w:pPr>
            <w:bookmarkStart w:id="4" w:name="_Hlk177930"/>
            <w:r>
              <w:rPr>
                <w:spacing w:val="-3"/>
                <w:sz w:val="20"/>
                <w:szCs w:val="20"/>
              </w:rPr>
              <w:t>After suc</w:t>
            </w:r>
            <w:r w:rsidR="004C40DF">
              <w:rPr>
                <w:spacing w:val="-3"/>
                <w:sz w:val="20"/>
                <w:szCs w:val="20"/>
              </w:rPr>
              <w:t>c</w:t>
            </w:r>
            <w:r>
              <w:rPr>
                <w:spacing w:val="-3"/>
                <w:sz w:val="20"/>
                <w:szCs w:val="20"/>
              </w:rPr>
              <w:t xml:space="preserve">essful completion of this subject the students will be able to: </w:t>
            </w:r>
          </w:p>
          <w:p w:rsidR="00556DCD" w:rsidRPr="004D200B" w:rsidRDefault="000041C7" w:rsidP="00556DCD">
            <w:pPr>
              <w:numPr>
                <w:ilvl w:val="0"/>
                <w:numId w:val="20"/>
              </w:numPr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list and explain </w:t>
            </w:r>
            <w:r w:rsidR="00AB1AE3">
              <w:rPr>
                <w:spacing w:val="-3"/>
                <w:sz w:val="20"/>
                <w:szCs w:val="20"/>
              </w:rPr>
              <w:t xml:space="preserve">key tasks of financial </w:t>
            </w:r>
            <w:r w:rsidR="000432A6">
              <w:rPr>
                <w:spacing w:val="-3"/>
                <w:sz w:val="20"/>
                <w:szCs w:val="20"/>
              </w:rPr>
              <w:t xml:space="preserve">management </w:t>
            </w:r>
            <w:r w:rsidR="00AB1AE3">
              <w:rPr>
                <w:spacing w:val="-3"/>
                <w:sz w:val="20"/>
                <w:szCs w:val="20"/>
              </w:rPr>
              <w:t xml:space="preserve">function in business organizations </w:t>
            </w:r>
          </w:p>
          <w:p w:rsidR="00AB1AE3" w:rsidRDefault="00AB1AE3" w:rsidP="00386B1D">
            <w:pPr>
              <w:numPr>
                <w:ilvl w:val="0"/>
                <w:numId w:val="21"/>
              </w:numPr>
              <w:jc w:val="both"/>
              <w:rPr>
                <w:spacing w:val="-3"/>
                <w:sz w:val="20"/>
                <w:szCs w:val="20"/>
              </w:rPr>
            </w:pPr>
            <w:r w:rsidRPr="00AB1AE3">
              <w:rPr>
                <w:spacing w:val="-3"/>
                <w:sz w:val="20"/>
                <w:szCs w:val="20"/>
              </w:rPr>
              <w:t>calculate the value of business performance indicators based on financial reports and evaluate business organizations'</w:t>
            </w:r>
            <w:r w:rsidR="000432A6">
              <w:rPr>
                <w:spacing w:val="-3"/>
                <w:sz w:val="20"/>
                <w:szCs w:val="20"/>
              </w:rPr>
              <w:t xml:space="preserve"> </w:t>
            </w:r>
            <w:r w:rsidRPr="00AB1AE3">
              <w:rPr>
                <w:spacing w:val="-3"/>
                <w:sz w:val="20"/>
                <w:szCs w:val="20"/>
              </w:rPr>
              <w:t xml:space="preserve">performance </w:t>
            </w:r>
          </w:p>
          <w:p w:rsidR="000D5BF7" w:rsidRPr="00AB1AE3" w:rsidRDefault="00AB1AE3" w:rsidP="00386B1D">
            <w:pPr>
              <w:numPr>
                <w:ilvl w:val="0"/>
                <w:numId w:val="21"/>
              </w:numPr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explain and analyze different techniques of working capital management </w:t>
            </w:r>
          </w:p>
          <w:p w:rsidR="00556DCD" w:rsidRPr="004D200B" w:rsidRDefault="00AB1AE3" w:rsidP="00556DCD">
            <w:pPr>
              <w:numPr>
                <w:ilvl w:val="0"/>
                <w:numId w:val="20"/>
              </w:numPr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list and explain financing rules </w:t>
            </w:r>
          </w:p>
          <w:p w:rsidR="00AB1AE3" w:rsidRDefault="00AB1AE3" w:rsidP="002909AA">
            <w:pPr>
              <w:numPr>
                <w:ilvl w:val="0"/>
                <w:numId w:val="20"/>
              </w:numPr>
              <w:jc w:val="both"/>
              <w:rPr>
                <w:spacing w:val="-3"/>
                <w:sz w:val="20"/>
                <w:szCs w:val="20"/>
              </w:rPr>
            </w:pPr>
            <w:r w:rsidRPr="00AB1AE3">
              <w:rPr>
                <w:spacing w:val="-3"/>
                <w:sz w:val="20"/>
                <w:szCs w:val="20"/>
              </w:rPr>
              <w:t xml:space="preserve">apply different valuation methods </w:t>
            </w:r>
            <w:r w:rsidR="000432A6">
              <w:rPr>
                <w:spacing w:val="-3"/>
                <w:sz w:val="20"/>
                <w:szCs w:val="20"/>
              </w:rPr>
              <w:t>f</w:t>
            </w:r>
            <w:r w:rsidRPr="00AB1AE3">
              <w:rPr>
                <w:spacing w:val="-3"/>
                <w:sz w:val="20"/>
                <w:szCs w:val="20"/>
              </w:rPr>
              <w:t xml:space="preserve">or financial decision making </w:t>
            </w:r>
          </w:p>
          <w:p w:rsidR="000D5BF7" w:rsidRPr="00AB1AE3" w:rsidRDefault="00AB1AE3" w:rsidP="002909AA">
            <w:pPr>
              <w:numPr>
                <w:ilvl w:val="0"/>
                <w:numId w:val="20"/>
              </w:numPr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explain and asses</w:t>
            </w:r>
            <w:r w:rsidR="000432A6">
              <w:rPr>
                <w:spacing w:val="-3"/>
                <w:sz w:val="20"/>
                <w:szCs w:val="20"/>
              </w:rPr>
              <w:t>s</w:t>
            </w:r>
            <w:r>
              <w:rPr>
                <w:spacing w:val="-3"/>
                <w:sz w:val="20"/>
                <w:szCs w:val="20"/>
              </w:rPr>
              <w:t xml:space="preserve"> advantages and disadvantages of </w:t>
            </w:r>
            <w:r w:rsidR="000432A6">
              <w:rPr>
                <w:spacing w:val="-3"/>
                <w:sz w:val="20"/>
                <w:szCs w:val="20"/>
              </w:rPr>
              <w:t xml:space="preserve">different </w:t>
            </w:r>
            <w:r>
              <w:rPr>
                <w:spacing w:val="-3"/>
                <w:sz w:val="20"/>
                <w:szCs w:val="20"/>
              </w:rPr>
              <w:t>financing sou</w:t>
            </w:r>
            <w:r w:rsidR="000432A6">
              <w:rPr>
                <w:spacing w:val="-3"/>
                <w:sz w:val="20"/>
                <w:szCs w:val="20"/>
              </w:rPr>
              <w:t>rce</w:t>
            </w:r>
            <w:r>
              <w:rPr>
                <w:spacing w:val="-3"/>
                <w:sz w:val="20"/>
                <w:szCs w:val="20"/>
              </w:rPr>
              <w:t>s for business organiza</w:t>
            </w:r>
            <w:r w:rsidR="000432A6">
              <w:rPr>
                <w:spacing w:val="-3"/>
                <w:sz w:val="20"/>
                <w:szCs w:val="20"/>
              </w:rPr>
              <w:t>t</w:t>
            </w:r>
            <w:r>
              <w:rPr>
                <w:spacing w:val="-3"/>
                <w:sz w:val="20"/>
                <w:szCs w:val="20"/>
              </w:rPr>
              <w:t xml:space="preserve">ions in tourism </w:t>
            </w:r>
          </w:p>
          <w:p w:rsidR="006203CF" w:rsidRPr="004D200B" w:rsidRDefault="000432A6" w:rsidP="00556DCD">
            <w:pPr>
              <w:numPr>
                <w:ilvl w:val="0"/>
                <w:numId w:val="20"/>
              </w:numPr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explain key elements of financial planning </w:t>
            </w:r>
            <w:bookmarkEnd w:id="4"/>
          </w:p>
        </w:tc>
      </w:tr>
      <w:tr w:rsidR="00565633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65633" w:rsidRPr="004D200B" w:rsidRDefault="000432A6" w:rsidP="00565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Subject's content</w:t>
            </w:r>
            <w:r w:rsidR="00565633" w:rsidRPr="004D200B">
              <w:rPr>
                <w:b/>
                <w:sz w:val="20"/>
                <w:szCs w:val="20"/>
              </w:rPr>
              <w:t>:</w:t>
            </w:r>
          </w:p>
          <w:p w:rsidR="004A69AB" w:rsidRPr="004D200B" w:rsidRDefault="004A69AB" w:rsidP="005656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E44559" w:rsidRPr="004D200B" w:rsidRDefault="00E44559" w:rsidP="00E44559">
            <w:pPr>
              <w:pStyle w:val="BodyText"/>
              <w:jc w:val="left"/>
              <w:rPr>
                <w:rFonts w:ascii="Times New Roman" w:hAnsi="Times New Roman"/>
                <w:spacing w:val="-3"/>
                <w:sz w:val="20"/>
                <w:lang w:val="hr-HR"/>
              </w:rPr>
            </w:pPr>
            <w:r w:rsidRPr="004D200B">
              <w:rPr>
                <w:rFonts w:ascii="Times New Roman" w:hAnsi="Times New Roman"/>
                <w:spacing w:val="-3"/>
                <w:sz w:val="20"/>
                <w:lang w:val="hr-HR"/>
              </w:rPr>
              <w:t>1</w:t>
            </w:r>
            <w:bookmarkStart w:id="5" w:name="_Hlk177916"/>
            <w:r w:rsidRPr="004D200B">
              <w:rPr>
                <w:rFonts w:ascii="Times New Roman" w:hAnsi="Times New Roman"/>
                <w:spacing w:val="-3"/>
                <w:sz w:val="20"/>
                <w:lang w:val="hr-HR"/>
              </w:rPr>
              <w:t>.</w:t>
            </w:r>
            <w:r w:rsidR="00874B12" w:rsidRPr="004D200B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 </w:t>
            </w:r>
            <w:r w:rsidR="000432A6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Financial management and goal of the firm </w:t>
            </w:r>
          </w:p>
          <w:p w:rsidR="00E44559" w:rsidRPr="004D200B" w:rsidRDefault="00E44559" w:rsidP="00E44559">
            <w:pPr>
              <w:pStyle w:val="BodyText"/>
              <w:jc w:val="left"/>
              <w:rPr>
                <w:rFonts w:ascii="Times New Roman" w:hAnsi="Times New Roman"/>
                <w:spacing w:val="-3"/>
                <w:sz w:val="20"/>
                <w:lang w:val="hr-HR"/>
              </w:rPr>
            </w:pPr>
            <w:r w:rsidRPr="004D200B">
              <w:rPr>
                <w:rFonts w:ascii="Times New Roman" w:hAnsi="Times New Roman"/>
                <w:spacing w:val="-3"/>
                <w:sz w:val="20"/>
                <w:lang w:val="hr-HR"/>
              </w:rPr>
              <w:t>2.</w:t>
            </w:r>
            <w:r w:rsidR="00FC49DC" w:rsidRPr="004D200B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 </w:t>
            </w:r>
            <w:r w:rsidR="000432A6">
              <w:rPr>
                <w:rFonts w:ascii="Times New Roman" w:hAnsi="Times New Roman"/>
                <w:spacing w:val="-3"/>
                <w:sz w:val="20"/>
                <w:lang w:val="hr-HR"/>
              </w:rPr>
              <w:t>Financial environment of the firm</w:t>
            </w:r>
          </w:p>
          <w:p w:rsidR="00C35083" w:rsidRPr="004D200B" w:rsidRDefault="00C35083" w:rsidP="00E44559">
            <w:pPr>
              <w:pStyle w:val="BodyText"/>
              <w:jc w:val="left"/>
              <w:rPr>
                <w:rFonts w:ascii="Times New Roman" w:hAnsi="Times New Roman"/>
                <w:spacing w:val="-3"/>
                <w:sz w:val="20"/>
                <w:lang w:val="hr-HR"/>
              </w:rPr>
            </w:pPr>
            <w:r w:rsidRPr="004D200B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3. </w:t>
            </w:r>
            <w:r w:rsidR="000432A6">
              <w:rPr>
                <w:rFonts w:ascii="Times New Roman" w:hAnsi="Times New Roman"/>
                <w:spacing w:val="-3"/>
                <w:sz w:val="20"/>
                <w:lang w:val="hr-HR"/>
              </w:rPr>
              <w:t>Financial analysis</w:t>
            </w:r>
            <w:r w:rsidRPr="004D200B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 </w:t>
            </w:r>
          </w:p>
          <w:p w:rsidR="00C35083" w:rsidRPr="004D200B" w:rsidRDefault="00C35083" w:rsidP="00C35083">
            <w:pPr>
              <w:pStyle w:val="BodyText"/>
              <w:jc w:val="left"/>
              <w:rPr>
                <w:rFonts w:ascii="Times New Roman" w:hAnsi="Times New Roman"/>
                <w:spacing w:val="-3"/>
                <w:sz w:val="20"/>
                <w:lang w:val="hr-HR"/>
              </w:rPr>
            </w:pPr>
            <w:r w:rsidRPr="004D200B">
              <w:rPr>
                <w:rFonts w:ascii="Times New Roman" w:hAnsi="Times New Roman"/>
                <w:spacing w:val="-3"/>
                <w:sz w:val="20"/>
                <w:lang w:val="hr-HR"/>
              </w:rPr>
              <w:t>4.</w:t>
            </w:r>
            <w:r w:rsidR="000432A6">
              <w:rPr>
                <w:rFonts w:ascii="Times New Roman" w:hAnsi="Times New Roman"/>
                <w:spacing w:val="-3"/>
                <w:sz w:val="20"/>
                <w:lang w:val="hr-HR"/>
              </w:rPr>
              <w:t>Working capital and cash management</w:t>
            </w:r>
          </w:p>
          <w:p w:rsidR="00C35083" w:rsidRPr="004D200B" w:rsidRDefault="00C35083" w:rsidP="00C35083">
            <w:pPr>
              <w:pStyle w:val="BodyText"/>
              <w:jc w:val="left"/>
              <w:rPr>
                <w:rFonts w:ascii="Times New Roman" w:hAnsi="Times New Roman"/>
                <w:spacing w:val="-3"/>
                <w:sz w:val="20"/>
                <w:lang w:val="hr-HR"/>
              </w:rPr>
            </w:pPr>
            <w:r w:rsidRPr="004D200B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5. </w:t>
            </w:r>
            <w:r w:rsidR="000432A6">
              <w:rPr>
                <w:rFonts w:ascii="Times New Roman" w:hAnsi="Times New Roman"/>
                <w:spacing w:val="-3"/>
                <w:sz w:val="20"/>
                <w:lang w:val="hr-HR"/>
              </w:rPr>
              <w:t>Working capital and accounts receivable</w:t>
            </w:r>
          </w:p>
          <w:p w:rsidR="00E44559" w:rsidRPr="004D200B" w:rsidRDefault="00C35083" w:rsidP="00E44559">
            <w:pPr>
              <w:pStyle w:val="BodyText"/>
              <w:jc w:val="left"/>
              <w:rPr>
                <w:rFonts w:ascii="Times New Roman" w:hAnsi="Times New Roman"/>
                <w:spacing w:val="-3"/>
                <w:sz w:val="20"/>
                <w:lang w:val="hr-HR"/>
              </w:rPr>
            </w:pPr>
            <w:r w:rsidRPr="004D200B">
              <w:rPr>
                <w:rFonts w:ascii="Times New Roman" w:hAnsi="Times New Roman"/>
                <w:spacing w:val="-3"/>
                <w:sz w:val="20"/>
                <w:lang w:val="hr-HR"/>
              </w:rPr>
              <w:t>6.</w:t>
            </w:r>
            <w:r w:rsidR="000432A6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 Fundamentals of valuation</w:t>
            </w:r>
          </w:p>
          <w:p w:rsidR="00C35083" w:rsidRPr="004D200B" w:rsidRDefault="00C35083" w:rsidP="00C35083">
            <w:pPr>
              <w:pStyle w:val="BodyText"/>
              <w:jc w:val="left"/>
              <w:rPr>
                <w:rFonts w:ascii="Times New Roman" w:hAnsi="Times New Roman"/>
                <w:spacing w:val="-3"/>
                <w:sz w:val="20"/>
                <w:lang w:val="hr-HR"/>
              </w:rPr>
            </w:pPr>
            <w:r w:rsidRPr="004D200B">
              <w:rPr>
                <w:rFonts w:ascii="Times New Roman" w:hAnsi="Times New Roman"/>
                <w:spacing w:val="-3"/>
                <w:sz w:val="20"/>
                <w:lang w:val="hr-HR"/>
              </w:rPr>
              <w:t>7</w:t>
            </w:r>
            <w:r w:rsidR="00E44559" w:rsidRPr="004D200B">
              <w:rPr>
                <w:rFonts w:ascii="Times New Roman" w:hAnsi="Times New Roman"/>
                <w:spacing w:val="-3"/>
                <w:sz w:val="20"/>
                <w:lang w:val="hr-HR"/>
              </w:rPr>
              <w:t>.</w:t>
            </w:r>
            <w:r w:rsidR="00FC49DC" w:rsidRPr="004D200B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 </w:t>
            </w:r>
            <w:r w:rsidR="000432A6">
              <w:rPr>
                <w:rFonts w:ascii="Times New Roman" w:hAnsi="Times New Roman"/>
                <w:spacing w:val="-3"/>
                <w:sz w:val="20"/>
                <w:lang w:val="hr-HR"/>
              </w:rPr>
              <w:t>Capital structure and cost of capital</w:t>
            </w:r>
          </w:p>
          <w:p w:rsidR="00C35083" w:rsidRPr="004D200B" w:rsidRDefault="00C35083" w:rsidP="00E44559">
            <w:pPr>
              <w:pStyle w:val="BodyText"/>
              <w:jc w:val="left"/>
              <w:rPr>
                <w:rFonts w:ascii="Times New Roman" w:hAnsi="Times New Roman"/>
                <w:spacing w:val="-3"/>
                <w:sz w:val="20"/>
                <w:lang w:val="hr-HR"/>
              </w:rPr>
            </w:pPr>
            <w:r w:rsidRPr="004D200B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8. </w:t>
            </w:r>
            <w:r w:rsidR="000432A6">
              <w:rPr>
                <w:rFonts w:ascii="Times New Roman" w:hAnsi="Times New Roman"/>
                <w:spacing w:val="-3"/>
                <w:sz w:val="20"/>
                <w:lang w:val="hr-HR"/>
              </w:rPr>
              <w:t>Financing entrepreneurship</w:t>
            </w:r>
          </w:p>
          <w:p w:rsidR="00E44559" w:rsidRPr="004D200B" w:rsidRDefault="00C35083" w:rsidP="00E44559">
            <w:pPr>
              <w:pStyle w:val="BodyText"/>
              <w:jc w:val="left"/>
              <w:rPr>
                <w:rFonts w:ascii="Times New Roman" w:hAnsi="Times New Roman"/>
                <w:spacing w:val="-3"/>
                <w:sz w:val="20"/>
                <w:lang w:val="hr-HR"/>
              </w:rPr>
            </w:pPr>
            <w:r w:rsidRPr="004D200B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9. </w:t>
            </w:r>
            <w:r w:rsidR="000432A6">
              <w:rPr>
                <w:rFonts w:ascii="Times New Roman" w:hAnsi="Times New Roman"/>
                <w:spacing w:val="-3"/>
                <w:sz w:val="20"/>
                <w:lang w:val="hr-HR"/>
              </w:rPr>
              <w:t>Fundamentals of financial planning</w:t>
            </w:r>
            <w:bookmarkEnd w:id="5"/>
          </w:p>
        </w:tc>
      </w:tr>
      <w:tr w:rsidR="00565633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65633" w:rsidRPr="004D200B" w:rsidRDefault="000432A6" w:rsidP="00565633">
            <w:pPr>
              <w:jc w:val="center"/>
              <w:rPr>
                <w:b/>
                <w:sz w:val="20"/>
                <w:szCs w:val="20"/>
              </w:rPr>
            </w:pPr>
            <w:bookmarkStart w:id="6" w:name="_Hlk177900"/>
            <w:r>
              <w:rPr>
                <w:b/>
                <w:sz w:val="20"/>
                <w:szCs w:val="20"/>
              </w:rPr>
              <w:t>Teaching methods</w:t>
            </w:r>
            <w:r w:rsidR="00565633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565633" w:rsidRPr="004D200B" w:rsidRDefault="000432A6" w:rsidP="00FD6CD9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lectures, exercises, presentations, discussion, case studies</w:t>
            </w:r>
          </w:p>
        </w:tc>
      </w:tr>
      <w:bookmarkEnd w:id="6"/>
      <w:tr w:rsidR="00565633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65633" w:rsidRPr="004D200B" w:rsidRDefault="000432A6" w:rsidP="00565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requirements for the students</w:t>
            </w:r>
            <w:r w:rsidR="00565633" w:rsidRPr="004D200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565633" w:rsidRPr="004D200B" w:rsidRDefault="00565633" w:rsidP="00556DCD">
            <w:pPr>
              <w:rPr>
                <w:spacing w:val="-3"/>
                <w:sz w:val="20"/>
                <w:szCs w:val="20"/>
              </w:rPr>
            </w:pPr>
          </w:p>
        </w:tc>
      </w:tr>
      <w:tr w:rsidR="00565633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65633" w:rsidRPr="004D200B" w:rsidRDefault="00566FC7" w:rsidP="00565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Structure of final grade 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D200B" w:rsidRDefault="004C40DF" w:rsidP="00C57D36">
            <w:pPr>
              <w:rPr>
                <w:spacing w:val="-3"/>
                <w:sz w:val="20"/>
                <w:szCs w:val="20"/>
              </w:rPr>
            </w:pPr>
            <w:bookmarkStart w:id="7" w:name="_Hlk177886"/>
            <w:r>
              <w:rPr>
                <w:spacing w:val="-3"/>
                <w:sz w:val="20"/>
                <w:szCs w:val="20"/>
              </w:rPr>
              <w:t>a</w:t>
            </w:r>
            <w:r w:rsidR="00566FC7">
              <w:rPr>
                <w:spacing w:val="-3"/>
                <w:sz w:val="20"/>
                <w:szCs w:val="20"/>
              </w:rPr>
              <w:t>ctive participation in all forms of classroom activities</w:t>
            </w:r>
            <w:r w:rsidR="004D200B">
              <w:rPr>
                <w:spacing w:val="-3"/>
                <w:sz w:val="20"/>
                <w:szCs w:val="20"/>
              </w:rPr>
              <w:t xml:space="preserve"> 5%</w:t>
            </w:r>
          </w:p>
          <w:p w:rsidR="00565633" w:rsidRPr="004D200B" w:rsidRDefault="00566FC7" w:rsidP="00C57D36">
            <w:pPr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the first test</w:t>
            </w:r>
            <w:r w:rsidR="004D200B">
              <w:rPr>
                <w:spacing w:val="-3"/>
                <w:sz w:val="20"/>
                <w:szCs w:val="20"/>
              </w:rPr>
              <w:t>: 35</w:t>
            </w:r>
            <w:r w:rsidR="00FC49DC" w:rsidRPr="004D200B">
              <w:rPr>
                <w:spacing w:val="-3"/>
                <w:sz w:val="20"/>
                <w:szCs w:val="20"/>
              </w:rPr>
              <w:t>%</w:t>
            </w:r>
          </w:p>
          <w:p w:rsidR="00FC49DC" w:rsidRPr="004D200B" w:rsidRDefault="00566FC7" w:rsidP="00C57D36">
            <w:pPr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case study</w:t>
            </w:r>
            <w:r w:rsidR="00FC49DC" w:rsidRPr="004D200B">
              <w:rPr>
                <w:spacing w:val="-3"/>
                <w:sz w:val="20"/>
                <w:szCs w:val="20"/>
              </w:rPr>
              <w:t>: 20%</w:t>
            </w:r>
          </w:p>
          <w:p w:rsidR="00FC49DC" w:rsidRPr="004D200B" w:rsidRDefault="00566FC7" w:rsidP="00C57D36">
            <w:pPr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final exam</w:t>
            </w:r>
            <w:r w:rsidR="00FC49DC" w:rsidRPr="004D200B">
              <w:rPr>
                <w:spacing w:val="-3"/>
                <w:sz w:val="20"/>
                <w:szCs w:val="20"/>
              </w:rPr>
              <w:t>: 40%</w:t>
            </w:r>
            <w:bookmarkEnd w:id="7"/>
          </w:p>
        </w:tc>
      </w:tr>
      <w:tr w:rsidR="00565633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65633" w:rsidRPr="004D200B" w:rsidRDefault="00566FC7" w:rsidP="00565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Literature</w:t>
            </w:r>
            <w:r w:rsidR="00565633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301411" w:rsidRPr="004D200B" w:rsidRDefault="00874B12" w:rsidP="00C57D36">
            <w:pPr>
              <w:tabs>
                <w:tab w:val="center" w:pos="8505"/>
              </w:tabs>
              <w:jc w:val="both"/>
              <w:rPr>
                <w:spacing w:val="-3"/>
                <w:sz w:val="20"/>
                <w:szCs w:val="20"/>
              </w:rPr>
            </w:pPr>
            <w:r w:rsidRPr="004D200B">
              <w:rPr>
                <w:spacing w:val="-3"/>
                <w:sz w:val="20"/>
                <w:szCs w:val="20"/>
              </w:rPr>
              <w:t>Van Horne J. C., W</w:t>
            </w:r>
            <w:r w:rsidR="007259E4" w:rsidRPr="004D200B">
              <w:rPr>
                <w:spacing w:val="-3"/>
                <w:sz w:val="20"/>
                <w:szCs w:val="20"/>
              </w:rPr>
              <w:t>achowicz J. M.,</w:t>
            </w:r>
            <w:r w:rsidR="00C57D36">
              <w:rPr>
                <w:spacing w:val="-3"/>
                <w:sz w:val="20"/>
                <w:szCs w:val="20"/>
              </w:rPr>
              <w:t xml:space="preserve"> (200</w:t>
            </w:r>
            <w:r w:rsidR="00566FC7">
              <w:rPr>
                <w:spacing w:val="-3"/>
                <w:sz w:val="20"/>
                <w:szCs w:val="20"/>
              </w:rPr>
              <w:t>9</w:t>
            </w:r>
            <w:r w:rsidR="00C57D36">
              <w:rPr>
                <w:spacing w:val="-3"/>
                <w:sz w:val="20"/>
                <w:szCs w:val="20"/>
              </w:rPr>
              <w:t>)</w:t>
            </w:r>
            <w:r w:rsidR="007259E4" w:rsidRPr="004D200B">
              <w:rPr>
                <w:spacing w:val="-3"/>
                <w:sz w:val="20"/>
                <w:szCs w:val="20"/>
              </w:rPr>
              <w:t xml:space="preserve"> </w:t>
            </w:r>
            <w:r w:rsidR="00566FC7">
              <w:rPr>
                <w:i/>
                <w:spacing w:val="-3"/>
                <w:sz w:val="20"/>
                <w:szCs w:val="20"/>
              </w:rPr>
              <w:t>Fundamentals of Financial Management</w:t>
            </w:r>
            <w:r w:rsidRPr="004D200B">
              <w:rPr>
                <w:spacing w:val="-3"/>
                <w:sz w:val="20"/>
                <w:szCs w:val="20"/>
              </w:rPr>
              <w:t xml:space="preserve">, </w:t>
            </w:r>
            <w:r w:rsidR="00566FC7">
              <w:rPr>
                <w:spacing w:val="-3"/>
                <w:sz w:val="20"/>
                <w:szCs w:val="20"/>
              </w:rPr>
              <w:t>13th edition, Pearson Education Limited</w:t>
            </w:r>
          </w:p>
        </w:tc>
      </w:tr>
      <w:tr w:rsidR="00565633" w:rsidRPr="004D200B">
        <w:tc>
          <w:tcPr>
            <w:tcW w:w="331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65633" w:rsidRPr="004D200B" w:rsidRDefault="00566FC7" w:rsidP="00565633">
            <w:pPr>
              <w:jc w:val="center"/>
              <w:rPr>
                <w:b/>
                <w:sz w:val="20"/>
                <w:szCs w:val="20"/>
              </w:rPr>
            </w:pPr>
            <w:r w:rsidRPr="00566FC7">
              <w:rPr>
                <w:b/>
                <w:sz w:val="20"/>
                <w:szCs w:val="20"/>
              </w:rPr>
              <w:t>Quality control of successfulness of teaching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565633" w:rsidRPr="004D200B" w:rsidRDefault="00566FC7" w:rsidP="00565633">
            <w:pPr>
              <w:jc w:val="center"/>
              <w:rPr>
                <w:sz w:val="20"/>
                <w:szCs w:val="20"/>
              </w:rPr>
            </w:pPr>
            <w:r w:rsidRPr="00566FC7">
              <w:rPr>
                <w:sz w:val="20"/>
                <w:szCs w:val="20"/>
              </w:rPr>
              <w:t>Anonymous survey among students about quality of teaching</w:t>
            </w:r>
          </w:p>
        </w:tc>
      </w:tr>
    </w:tbl>
    <w:p w:rsidR="00D90A04" w:rsidRDefault="00D90A04" w:rsidP="00556DCD">
      <w:pPr>
        <w:rPr>
          <w:spacing w:val="-3"/>
          <w:sz w:val="20"/>
          <w:szCs w:val="18"/>
        </w:rPr>
      </w:pPr>
    </w:p>
    <w:p w:rsidR="000F34E9" w:rsidRDefault="000F34E9" w:rsidP="00D90A04">
      <w:pPr>
        <w:jc w:val="center"/>
        <w:rPr>
          <w:spacing w:val="-3"/>
          <w:sz w:val="20"/>
          <w:szCs w:val="18"/>
        </w:rPr>
      </w:pPr>
    </w:p>
    <w:p w:rsidR="000F34E9" w:rsidRDefault="000F34E9" w:rsidP="00D90A04">
      <w:pPr>
        <w:jc w:val="center"/>
        <w:rPr>
          <w:spacing w:val="-3"/>
          <w:sz w:val="20"/>
          <w:szCs w:val="18"/>
        </w:rPr>
      </w:pPr>
    </w:p>
    <w:p w:rsidR="000F34E9" w:rsidRDefault="000F34E9" w:rsidP="00D90A04">
      <w:pPr>
        <w:jc w:val="center"/>
        <w:rPr>
          <w:spacing w:val="-3"/>
          <w:sz w:val="20"/>
          <w:szCs w:val="18"/>
        </w:rPr>
      </w:pPr>
    </w:p>
    <w:p w:rsidR="000011C3" w:rsidRDefault="000011C3" w:rsidP="00D90A04">
      <w:pPr>
        <w:jc w:val="center"/>
        <w:rPr>
          <w:spacing w:val="-3"/>
          <w:sz w:val="20"/>
          <w:szCs w:val="18"/>
        </w:rPr>
      </w:pPr>
    </w:p>
    <w:p w:rsidR="000011C3" w:rsidRDefault="000011C3" w:rsidP="00D90A04">
      <w:pPr>
        <w:jc w:val="center"/>
        <w:rPr>
          <w:spacing w:val="-3"/>
          <w:sz w:val="20"/>
          <w:szCs w:val="18"/>
        </w:rPr>
      </w:pPr>
    </w:p>
    <w:p w:rsidR="007963E0" w:rsidRDefault="007963E0" w:rsidP="00ED4E28"/>
    <w:sectPr w:rsidR="007963E0" w:rsidSect="004D200B">
      <w:footerReference w:type="even" r:id="rId7"/>
      <w:footerReference w:type="default" r:id="rId8"/>
      <w:pgSz w:w="11907" w:h="16840"/>
      <w:pgMar w:top="720" w:right="720" w:bottom="720" w:left="720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EFA" w:rsidRDefault="00DD0EFA">
      <w:r>
        <w:separator/>
      </w:r>
    </w:p>
  </w:endnote>
  <w:endnote w:type="continuationSeparator" w:id="0">
    <w:p w:rsidR="00DD0EFA" w:rsidRDefault="00DD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apfEllip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CC" w:rsidRDefault="00D2302C" w:rsidP="00BD14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62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62CC" w:rsidRDefault="005362CC" w:rsidP="00866B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CC" w:rsidRDefault="00D2302C" w:rsidP="00BD14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62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200B">
      <w:rPr>
        <w:rStyle w:val="PageNumber"/>
        <w:noProof/>
      </w:rPr>
      <w:t>2</w:t>
    </w:r>
    <w:r>
      <w:rPr>
        <w:rStyle w:val="PageNumber"/>
      </w:rPr>
      <w:fldChar w:fldCharType="end"/>
    </w:r>
  </w:p>
  <w:p w:rsidR="005362CC" w:rsidRDefault="005362CC" w:rsidP="00866B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EFA" w:rsidRDefault="00DD0EFA">
      <w:r>
        <w:separator/>
      </w:r>
    </w:p>
  </w:footnote>
  <w:footnote w:type="continuationSeparator" w:id="0">
    <w:p w:rsidR="00DD0EFA" w:rsidRDefault="00DD0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602"/>
      </v:shape>
    </w:pict>
  </w:numPicBullet>
  <w:numPicBullet w:numPicBulletId="1">
    <w:pict>
      <v:shape id="_x0000_i1034" type="#_x0000_t75" style="width:3in;height:3in" o:bullet="t"/>
    </w:pict>
  </w:numPicBullet>
  <w:numPicBullet w:numPicBulletId="2">
    <w:pict>
      <v:shape id="_x0000_i1035" type="#_x0000_t75" style="width:3in;height:3in" o:bullet="t"/>
    </w:pict>
  </w:numPicBullet>
  <w:numPicBullet w:numPicBulletId="3">
    <w:pict>
      <v:shape id="_x0000_i1036" type="#_x0000_t75" style="width:3in;height:3in" o:bullet="t"/>
    </w:pict>
  </w:numPicBullet>
  <w:numPicBullet w:numPicBulletId="4">
    <w:pict>
      <v:shape id="_x0000_i1037" type="#_x0000_t75" style="width:3in;height:3in" o:bullet="t"/>
    </w:pict>
  </w:numPicBullet>
  <w:numPicBullet w:numPicBulletId="5">
    <w:pict>
      <v:shape id="_x0000_i1038" type="#_x0000_t75" style="width:3in;height:3in" o:bullet="t"/>
    </w:pict>
  </w:numPicBullet>
  <w:numPicBullet w:numPicBulletId="6">
    <w:pict>
      <v:shape id="_x0000_i1039" type="#_x0000_t75" style="width:3in;height:3in" o:bullet="t"/>
    </w:pict>
  </w:numPicBullet>
  <w:abstractNum w:abstractNumId="0">
    <w:nsid w:val="070E6703"/>
    <w:multiLevelType w:val="hybridMultilevel"/>
    <w:tmpl w:val="69AA0BD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E262F"/>
    <w:multiLevelType w:val="hybridMultilevel"/>
    <w:tmpl w:val="2CA4F6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31681"/>
    <w:multiLevelType w:val="hybridMultilevel"/>
    <w:tmpl w:val="FA42837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7B540D"/>
    <w:multiLevelType w:val="hybridMultilevel"/>
    <w:tmpl w:val="CE983310"/>
    <w:lvl w:ilvl="0" w:tplc="7BEC6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E70F3F"/>
    <w:multiLevelType w:val="hybridMultilevel"/>
    <w:tmpl w:val="2CA4F6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53D69"/>
    <w:multiLevelType w:val="singleLevel"/>
    <w:tmpl w:val="8ED8642C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9740D03"/>
    <w:multiLevelType w:val="hybridMultilevel"/>
    <w:tmpl w:val="2CA4F6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D1AC8"/>
    <w:multiLevelType w:val="hybridMultilevel"/>
    <w:tmpl w:val="F732FC8C"/>
    <w:lvl w:ilvl="0" w:tplc="011CD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953BF1"/>
    <w:multiLevelType w:val="hybridMultilevel"/>
    <w:tmpl w:val="2CA4F6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B0578"/>
    <w:multiLevelType w:val="hybridMultilevel"/>
    <w:tmpl w:val="14C671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8419D"/>
    <w:multiLevelType w:val="hybridMultilevel"/>
    <w:tmpl w:val="BB2ACB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57168"/>
    <w:multiLevelType w:val="hybridMultilevel"/>
    <w:tmpl w:val="C8CCB9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C3849"/>
    <w:multiLevelType w:val="hybridMultilevel"/>
    <w:tmpl w:val="9EB63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653C4"/>
    <w:multiLevelType w:val="hybridMultilevel"/>
    <w:tmpl w:val="9EB63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41CB0"/>
    <w:multiLevelType w:val="hybridMultilevel"/>
    <w:tmpl w:val="647ECA5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4531CA"/>
    <w:multiLevelType w:val="hybridMultilevel"/>
    <w:tmpl w:val="398AB43C"/>
    <w:lvl w:ilvl="0" w:tplc="A9A4A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2810DD"/>
    <w:multiLevelType w:val="hybridMultilevel"/>
    <w:tmpl w:val="2CA4F6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31F99"/>
    <w:multiLevelType w:val="hybridMultilevel"/>
    <w:tmpl w:val="C3D8E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D001E3"/>
    <w:multiLevelType w:val="hybridMultilevel"/>
    <w:tmpl w:val="CD40C0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67637"/>
    <w:multiLevelType w:val="hybridMultilevel"/>
    <w:tmpl w:val="CD40C0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B209B"/>
    <w:multiLevelType w:val="hybridMultilevel"/>
    <w:tmpl w:val="3F74AB18"/>
    <w:lvl w:ilvl="0" w:tplc="6D62E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4"/>
  </w:num>
  <w:num w:numId="5">
    <w:abstractNumId w:val="2"/>
  </w:num>
  <w:num w:numId="6">
    <w:abstractNumId w:val="15"/>
  </w:num>
  <w:num w:numId="7">
    <w:abstractNumId w:val="4"/>
  </w:num>
  <w:num w:numId="8">
    <w:abstractNumId w:val="1"/>
  </w:num>
  <w:num w:numId="9">
    <w:abstractNumId w:val="13"/>
  </w:num>
  <w:num w:numId="10">
    <w:abstractNumId w:val="8"/>
  </w:num>
  <w:num w:numId="11">
    <w:abstractNumId w:val="16"/>
  </w:num>
  <w:num w:numId="12">
    <w:abstractNumId w:val="12"/>
  </w:num>
  <w:num w:numId="13">
    <w:abstractNumId w:val="6"/>
  </w:num>
  <w:num w:numId="14">
    <w:abstractNumId w:val="9"/>
  </w:num>
  <w:num w:numId="15">
    <w:abstractNumId w:val="11"/>
  </w:num>
  <w:num w:numId="16">
    <w:abstractNumId w:val="17"/>
  </w:num>
  <w:num w:numId="17">
    <w:abstractNumId w:val="10"/>
  </w:num>
  <w:num w:numId="18">
    <w:abstractNumId w:val="18"/>
  </w:num>
  <w:num w:numId="19">
    <w:abstractNumId w:val="19"/>
  </w:num>
  <w:num w:numId="20">
    <w:abstractNumId w:val="3"/>
  </w:num>
  <w:num w:numId="21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71"/>
    <w:rsid w:val="000011C3"/>
    <w:rsid w:val="000041C7"/>
    <w:rsid w:val="00007A0C"/>
    <w:rsid w:val="00035039"/>
    <w:rsid w:val="000432A6"/>
    <w:rsid w:val="000533F7"/>
    <w:rsid w:val="000551EA"/>
    <w:rsid w:val="0008096C"/>
    <w:rsid w:val="000A5834"/>
    <w:rsid w:val="000C1E62"/>
    <w:rsid w:val="000C753C"/>
    <w:rsid w:val="000D5BF7"/>
    <w:rsid w:val="000E6FFC"/>
    <w:rsid w:val="000F34E9"/>
    <w:rsid w:val="00117D19"/>
    <w:rsid w:val="001429DF"/>
    <w:rsid w:val="001541F7"/>
    <w:rsid w:val="0016090A"/>
    <w:rsid w:val="00190E09"/>
    <w:rsid w:val="001B0992"/>
    <w:rsid w:val="001B159F"/>
    <w:rsid w:val="001C5979"/>
    <w:rsid w:val="001D1505"/>
    <w:rsid w:val="001D5CC2"/>
    <w:rsid w:val="001D7868"/>
    <w:rsid w:val="001E2F78"/>
    <w:rsid w:val="001F14B2"/>
    <w:rsid w:val="001F2059"/>
    <w:rsid w:val="00217176"/>
    <w:rsid w:val="00253FCA"/>
    <w:rsid w:val="0027558B"/>
    <w:rsid w:val="00276511"/>
    <w:rsid w:val="002B5191"/>
    <w:rsid w:val="002C2750"/>
    <w:rsid w:val="002D0BC3"/>
    <w:rsid w:val="002F2B72"/>
    <w:rsid w:val="002F5CDF"/>
    <w:rsid w:val="00301411"/>
    <w:rsid w:val="00327C03"/>
    <w:rsid w:val="00353DDD"/>
    <w:rsid w:val="003B66A8"/>
    <w:rsid w:val="003C6602"/>
    <w:rsid w:val="003D26CE"/>
    <w:rsid w:val="00456A75"/>
    <w:rsid w:val="00494CE2"/>
    <w:rsid w:val="004A6119"/>
    <w:rsid w:val="004A69AB"/>
    <w:rsid w:val="004B2535"/>
    <w:rsid w:val="004C40DF"/>
    <w:rsid w:val="004C67F5"/>
    <w:rsid w:val="004D200B"/>
    <w:rsid w:val="004D278D"/>
    <w:rsid w:val="004D5E77"/>
    <w:rsid w:val="004E4127"/>
    <w:rsid w:val="00523F55"/>
    <w:rsid w:val="00525AF3"/>
    <w:rsid w:val="005362CC"/>
    <w:rsid w:val="00556DCD"/>
    <w:rsid w:val="00565633"/>
    <w:rsid w:val="00566FC7"/>
    <w:rsid w:val="00570CDE"/>
    <w:rsid w:val="005822E5"/>
    <w:rsid w:val="005C0FEE"/>
    <w:rsid w:val="005C7331"/>
    <w:rsid w:val="005E54A6"/>
    <w:rsid w:val="005F2C7B"/>
    <w:rsid w:val="006014C3"/>
    <w:rsid w:val="006203CF"/>
    <w:rsid w:val="00623031"/>
    <w:rsid w:val="0065052B"/>
    <w:rsid w:val="006652CF"/>
    <w:rsid w:val="006C7BFE"/>
    <w:rsid w:val="006D3AAA"/>
    <w:rsid w:val="006E0AC6"/>
    <w:rsid w:val="006E0CE6"/>
    <w:rsid w:val="006E0F55"/>
    <w:rsid w:val="007009F3"/>
    <w:rsid w:val="00720380"/>
    <w:rsid w:val="00723892"/>
    <w:rsid w:val="007259E4"/>
    <w:rsid w:val="00733617"/>
    <w:rsid w:val="007371A3"/>
    <w:rsid w:val="0075242B"/>
    <w:rsid w:val="00773796"/>
    <w:rsid w:val="007950D4"/>
    <w:rsid w:val="007963E0"/>
    <w:rsid w:val="007C769E"/>
    <w:rsid w:val="007D0883"/>
    <w:rsid w:val="007D4CB5"/>
    <w:rsid w:val="008329D7"/>
    <w:rsid w:val="00833436"/>
    <w:rsid w:val="00834310"/>
    <w:rsid w:val="00836A06"/>
    <w:rsid w:val="00841DD9"/>
    <w:rsid w:val="0085347C"/>
    <w:rsid w:val="008573F6"/>
    <w:rsid w:val="00866BC9"/>
    <w:rsid w:val="00874B12"/>
    <w:rsid w:val="00880CEF"/>
    <w:rsid w:val="008B7A32"/>
    <w:rsid w:val="008C1681"/>
    <w:rsid w:val="008C6CF5"/>
    <w:rsid w:val="008E3331"/>
    <w:rsid w:val="008E4AFC"/>
    <w:rsid w:val="008F095B"/>
    <w:rsid w:val="008F7825"/>
    <w:rsid w:val="0091023D"/>
    <w:rsid w:val="009469AE"/>
    <w:rsid w:val="009671B2"/>
    <w:rsid w:val="009A3A35"/>
    <w:rsid w:val="009D7871"/>
    <w:rsid w:val="009E504A"/>
    <w:rsid w:val="00A00182"/>
    <w:rsid w:val="00A05799"/>
    <w:rsid w:val="00A154BC"/>
    <w:rsid w:val="00A22D59"/>
    <w:rsid w:val="00A34151"/>
    <w:rsid w:val="00A36089"/>
    <w:rsid w:val="00A40AD8"/>
    <w:rsid w:val="00A53C35"/>
    <w:rsid w:val="00A728D4"/>
    <w:rsid w:val="00A84D56"/>
    <w:rsid w:val="00A95F6E"/>
    <w:rsid w:val="00AA1385"/>
    <w:rsid w:val="00AB1AE3"/>
    <w:rsid w:val="00AB4219"/>
    <w:rsid w:val="00AB6FEE"/>
    <w:rsid w:val="00AC3565"/>
    <w:rsid w:val="00AD08A2"/>
    <w:rsid w:val="00AD14A2"/>
    <w:rsid w:val="00AF595C"/>
    <w:rsid w:val="00B022E6"/>
    <w:rsid w:val="00B46D75"/>
    <w:rsid w:val="00B6604E"/>
    <w:rsid w:val="00B77051"/>
    <w:rsid w:val="00B923A2"/>
    <w:rsid w:val="00BA34BE"/>
    <w:rsid w:val="00BA6DE7"/>
    <w:rsid w:val="00BD14CD"/>
    <w:rsid w:val="00BD6724"/>
    <w:rsid w:val="00BD7821"/>
    <w:rsid w:val="00BE5D5F"/>
    <w:rsid w:val="00C075DE"/>
    <w:rsid w:val="00C12432"/>
    <w:rsid w:val="00C35083"/>
    <w:rsid w:val="00C4698B"/>
    <w:rsid w:val="00C55C4D"/>
    <w:rsid w:val="00C57D36"/>
    <w:rsid w:val="00C73D16"/>
    <w:rsid w:val="00C84633"/>
    <w:rsid w:val="00CA068D"/>
    <w:rsid w:val="00CA0D91"/>
    <w:rsid w:val="00CA3D30"/>
    <w:rsid w:val="00CC3951"/>
    <w:rsid w:val="00CE14A2"/>
    <w:rsid w:val="00D11458"/>
    <w:rsid w:val="00D150EA"/>
    <w:rsid w:val="00D164F4"/>
    <w:rsid w:val="00D23009"/>
    <w:rsid w:val="00D2302C"/>
    <w:rsid w:val="00D3042F"/>
    <w:rsid w:val="00D547E2"/>
    <w:rsid w:val="00D819FF"/>
    <w:rsid w:val="00D90885"/>
    <w:rsid w:val="00D90A04"/>
    <w:rsid w:val="00DA7F78"/>
    <w:rsid w:val="00DC6110"/>
    <w:rsid w:val="00DD0EFA"/>
    <w:rsid w:val="00E163EC"/>
    <w:rsid w:val="00E4425C"/>
    <w:rsid w:val="00E44559"/>
    <w:rsid w:val="00E54400"/>
    <w:rsid w:val="00E65A9E"/>
    <w:rsid w:val="00E65E36"/>
    <w:rsid w:val="00E77626"/>
    <w:rsid w:val="00E871D3"/>
    <w:rsid w:val="00E90C63"/>
    <w:rsid w:val="00E96163"/>
    <w:rsid w:val="00EA0993"/>
    <w:rsid w:val="00EA1850"/>
    <w:rsid w:val="00EB6537"/>
    <w:rsid w:val="00EC17A3"/>
    <w:rsid w:val="00ED4E28"/>
    <w:rsid w:val="00EE2DA1"/>
    <w:rsid w:val="00F00047"/>
    <w:rsid w:val="00F25E52"/>
    <w:rsid w:val="00F30AD8"/>
    <w:rsid w:val="00F3602D"/>
    <w:rsid w:val="00F402E5"/>
    <w:rsid w:val="00F46C72"/>
    <w:rsid w:val="00F55A6E"/>
    <w:rsid w:val="00F80341"/>
    <w:rsid w:val="00F80FA3"/>
    <w:rsid w:val="00F94292"/>
    <w:rsid w:val="00FC49DC"/>
    <w:rsid w:val="00FD6CD9"/>
    <w:rsid w:val="00FE2BCA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433939-FBF9-4103-A222-22ED8892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A75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9D7871"/>
    <w:pPr>
      <w:keepNext/>
      <w:jc w:val="both"/>
      <w:outlineLvl w:val="0"/>
    </w:pPr>
    <w:rPr>
      <w:rFonts w:ascii="4D Gothic" w:hAnsi="4D Gothic"/>
      <w:sz w:val="32"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9D78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D7871"/>
    <w:pPr>
      <w:keepNext/>
      <w:jc w:val="center"/>
      <w:outlineLvl w:val="2"/>
    </w:pPr>
    <w:rPr>
      <w:rFonts w:ascii="4D Gothic" w:hAnsi="4D Gothic"/>
      <w:b/>
      <w:sz w:val="44"/>
      <w:szCs w:val="20"/>
      <w:lang w:val="en-US" w:eastAsia="en-US"/>
    </w:rPr>
  </w:style>
  <w:style w:type="paragraph" w:styleId="Heading4">
    <w:name w:val="heading 4"/>
    <w:basedOn w:val="Normal"/>
    <w:next w:val="Normal"/>
    <w:qFormat/>
    <w:rsid w:val="009D78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D78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D787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D7871"/>
    <w:pPr>
      <w:keepNext/>
      <w:outlineLvl w:val="6"/>
    </w:pPr>
    <w:rPr>
      <w:rFonts w:ascii="4D Gothic" w:hAnsi="4D Gothic"/>
      <w:b/>
      <w:i/>
      <w:szCs w:val="20"/>
      <w:lang w:val="en-US" w:eastAsia="en-US"/>
    </w:rPr>
  </w:style>
  <w:style w:type="paragraph" w:styleId="Heading8">
    <w:name w:val="heading 8"/>
    <w:basedOn w:val="Normal"/>
    <w:next w:val="Normal"/>
    <w:qFormat/>
    <w:rsid w:val="009D7871"/>
    <w:pPr>
      <w:keepNext/>
      <w:numPr>
        <w:numId w:val="1"/>
      </w:numPr>
      <w:outlineLvl w:val="7"/>
    </w:pPr>
    <w:rPr>
      <w:rFonts w:ascii="4D Gothic" w:hAnsi="4D Gothic"/>
      <w:b/>
      <w:szCs w:val="20"/>
      <w:lang w:val="en-US" w:eastAsia="en-US"/>
    </w:rPr>
  </w:style>
  <w:style w:type="paragraph" w:styleId="Heading9">
    <w:name w:val="heading 9"/>
    <w:basedOn w:val="Normal"/>
    <w:next w:val="Normal"/>
    <w:qFormat/>
    <w:rsid w:val="009D7871"/>
    <w:pPr>
      <w:keepNext/>
      <w:jc w:val="both"/>
      <w:outlineLvl w:val="8"/>
    </w:pPr>
    <w:rPr>
      <w:rFonts w:ascii="4D Gothic" w:hAnsi="4D Gothic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 uvlaka 2, uvlaka 3,uvlaka 2,uvlaka 3"/>
    <w:basedOn w:val="Normal"/>
    <w:rsid w:val="009D7871"/>
    <w:pPr>
      <w:jc w:val="both"/>
    </w:pPr>
    <w:rPr>
      <w:rFonts w:ascii="4D Gothic" w:hAnsi="4D Gothic"/>
      <w:szCs w:val="20"/>
      <w:lang w:val="en-US" w:eastAsia="en-US"/>
    </w:rPr>
  </w:style>
  <w:style w:type="paragraph" w:styleId="BodyText2">
    <w:name w:val="Body Text 2"/>
    <w:basedOn w:val="Normal"/>
    <w:rsid w:val="009D7871"/>
    <w:pPr>
      <w:jc w:val="both"/>
    </w:pPr>
    <w:rPr>
      <w:rFonts w:ascii="4D Gothic" w:hAnsi="4D Gothic"/>
      <w:i/>
      <w:szCs w:val="20"/>
      <w:lang w:val="en-US" w:eastAsia="en-US"/>
    </w:rPr>
  </w:style>
  <w:style w:type="paragraph" w:styleId="TOC1">
    <w:name w:val="toc 1"/>
    <w:basedOn w:val="Normal"/>
    <w:next w:val="Normal"/>
    <w:autoRedefine/>
    <w:semiHidden/>
    <w:rsid w:val="009D7871"/>
    <w:pPr>
      <w:tabs>
        <w:tab w:val="right" w:leader="dot" w:pos="9480"/>
        <w:tab w:val="right" w:leader="dot" w:pos="9639"/>
      </w:tabs>
      <w:spacing w:before="120" w:after="120"/>
    </w:pPr>
    <w:rPr>
      <w:b/>
      <w:bCs/>
      <w:i/>
      <w:iCs/>
      <w:lang w:val="en-US" w:eastAsia="en-US"/>
    </w:rPr>
  </w:style>
  <w:style w:type="paragraph" w:styleId="BodyTextIndent">
    <w:name w:val="Body Text Indent"/>
    <w:basedOn w:val="Normal"/>
    <w:rsid w:val="009D7871"/>
    <w:pPr>
      <w:spacing w:after="120"/>
      <w:ind w:left="283"/>
    </w:pPr>
  </w:style>
  <w:style w:type="paragraph" w:styleId="BodyTextIndent2">
    <w:name w:val="Body Text Indent 2"/>
    <w:basedOn w:val="Normal"/>
    <w:rsid w:val="009D7871"/>
    <w:pPr>
      <w:spacing w:after="120" w:line="480" w:lineRule="auto"/>
      <w:ind w:left="283"/>
    </w:pPr>
  </w:style>
  <w:style w:type="character" w:styleId="Hyperlink">
    <w:name w:val="Hyperlink"/>
    <w:basedOn w:val="DefaultParagraphFont"/>
    <w:rsid w:val="009D7871"/>
    <w:rPr>
      <w:color w:val="0000FF"/>
      <w:u w:val="single"/>
    </w:rPr>
  </w:style>
  <w:style w:type="paragraph" w:styleId="Footer">
    <w:name w:val="footer"/>
    <w:basedOn w:val="Normal"/>
    <w:rsid w:val="009D7871"/>
    <w:pPr>
      <w:tabs>
        <w:tab w:val="center" w:pos="4320"/>
        <w:tab w:val="right" w:pos="8640"/>
      </w:tabs>
    </w:pPr>
    <w:rPr>
      <w:rFonts w:ascii="4D Gothic" w:hAnsi="4D Gothic"/>
      <w:szCs w:val="20"/>
      <w:lang w:val="en-US" w:eastAsia="en-US"/>
    </w:rPr>
  </w:style>
  <w:style w:type="character" w:styleId="PageNumber">
    <w:name w:val="page number"/>
    <w:basedOn w:val="DefaultParagraphFont"/>
    <w:rsid w:val="009D7871"/>
  </w:style>
  <w:style w:type="paragraph" w:styleId="FootnoteText">
    <w:name w:val="footnote text"/>
    <w:basedOn w:val="Normal"/>
    <w:semiHidden/>
    <w:rsid w:val="009D7871"/>
    <w:rPr>
      <w:sz w:val="20"/>
      <w:szCs w:val="20"/>
    </w:rPr>
  </w:style>
  <w:style w:type="paragraph" w:styleId="Header">
    <w:name w:val="header"/>
    <w:basedOn w:val="Normal"/>
    <w:rsid w:val="009D7871"/>
    <w:pPr>
      <w:tabs>
        <w:tab w:val="center" w:pos="4320"/>
        <w:tab w:val="right" w:pos="8640"/>
      </w:tabs>
    </w:pPr>
    <w:rPr>
      <w:rFonts w:ascii="4D Gothic" w:hAnsi="4D Gothic"/>
      <w:szCs w:val="20"/>
      <w:lang w:val="en-US" w:eastAsia="en-US"/>
    </w:rPr>
  </w:style>
  <w:style w:type="paragraph" w:styleId="Title">
    <w:name w:val="Title"/>
    <w:basedOn w:val="Normal"/>
    <w:qFormat/>
    <w:rsid w:val="009D7871"/>
    <w:pPr>
      <w:jc w:val="center"/>
    </w:pPr>
    <w:rPr>
      <w:b/>
      <w:sz w:val="32"/>
      <w:szCs w:val="20"/>
      <w:lang w:eastAsia="en-US"/>
    </w:rPr>
  </w:style>
  <w:style w:type="paragraph" w:styleId="NormalWeb">
    <w:name w:val="Normal (Web)"/>
    <w:basedOn w:val="Normal"/>
    <w:link w:val="NormalWebChar"/>
    <w:rsid w:val="009D7871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rsid w:val="009D7871"/>
    <w:rPr>
      <w:sz w:val="24"/>
      <w:szCs w:val="24"/>
      <w:lang w:val="hr-HR" w:eastAsia="hr-HR" w:bidi="ar-SA"/>
    </w:rPr>
  </w:style>
  <w:style w:type="table" w:styleId="TableProfessional">
    <w:name w:val="Table Professional"/>
    <w:basedOn w:val="TableNormal"/>
    <w:rsid w:val="009D78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odyText3">
    <w:name w:val="Body Text 3"/>
    <w:basedOn w:val="Normal"/>
    <w:rsid w:val="009D7871"/>
    <w:pPr>
      <w:spacing w:after="120"/>
    </w:pPr>
    <w:rPr>
      <w:rFonts w:ascii="ZapfEllipt BT" w:hAnsi="ZapfEllipt BT"/>
      <w:sz w:val="16"/>
      <w:szCs w:val="16"/>
    </w:rPr>
  </w:style>
  <w:style w:type="table" w:styleId="TableWeb3">
    <w:name w:val="Table Web 3"/>
    <w:basedOn w:val="TableNormal"/>
    <w:rsid w:val="009D787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3">
    <w:name w:val="Body Text Indent 3"/>
    <w:basedOn w:val="Normal"/>
    <w:rsid w:val="009D7871"/>
    <w:pPr>
      <w:spacing w:after="120"/>
      <w:ind w:left="283"/>
    </w:pPr>
    <w:rPr>
      <w:rFonts w:ascii="4D Gothic" w:hAnsi="4D Gothic"/>
      <w:sz w:val="16"/>
      <w:szCs w:val="16"/>
      <w:lang w:val="en-US" w:eastAsia="en-US"/>
    </w:rPr>
  </w:style>
  <w:style w:type="paragraph" w:customStyle="1" w:styleId="sudo">
    <w:name w:val="sudo"/>
    <w:basedOn w:val="Normal"/>
    <w:rsid w:val="009D7871"/>
    <w:pPr>
      <w:jc w:val="both"/>
    </w:pPr>
    <w:rPr>
      <w:szCs w:val="20"/>
      <w:lang w:eastAsia="en-US"/>
    </w:rPr>
  </w:style>
  <w:style w:type="table" w:styleId="TableGrid">
    <w:name w:val="Table Grid"/>
    <w:basedOn w:val="TableNormal"/>
    <w:rsid w:val="009D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7">
    <w:name w:val="Table Grid 7"/>
    <w:basedOn w:val="TableNormal"/>
    <w:rsid w:val="009D787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D787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9D7871"/>
    <w:rPr>
      <w:i/>
      <w:iCs/>
    </w:rPr>
  </w:style>
  <w:style w:type="character" w:customStyle="1" w:styleId="newstitle1">
    <w:name w:val="news_title1"/>
    <w:basedOn w:val="DefaultParagraphFont"/>
    <w:rsid w:val="009D7871"/>
    <w:rPr>
      <w:rFonts w:ascii="Arial" w:hAnsi="Arial" w:cs="Arial" w:hint="default"/>
      <w:b/>
      <w:bCs/>
      <w:color w:val="226F9F"/>
      <w:sz w:val="24"/>
      <w:szCs w:val="24"/>
    </w:rPr>
  </w:style>
  <w:style w:type="character" w:customStyle="1" w:styleId="text1">
    <w:name w:val="text1"/>
    <w:basedOn w:val="DefaultParagraphFont"/>
    <w:rsid w:val="009D7871"/>
    <w:rPr>
      <w:rFonts w:ascii="Verdana" w:hAnsi="Verdana" w:hint="default"/>
      <w:strike w:val="0"/>
      <w:dstrike w:val="0"/>
      <w:sz w:val="17"/>
      <w:szCs w:val="17"/>
      <w:u w:val="none"/>
      <w:effect w:val="none"/>
    </w:rPr>
  </w:style>
  <w:style w:type="paragraph" w:styleId="HTMLPreformatted">
    <w:name w:val="HTML Preformatted"/>
    <w:basedOn w:val="Normal"/>
    <w:rsid w:val="009D7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styleId="Strong">
    <w:name w:val="Strong"/>
    <w:basedOn w:val="DefaultParagraphFont"/>
    <w:qFormat/>
    <w:rsid w:val="009D7871"/>
    <w:rPr>
      <w:b/>
      <w:bCs/>
    </w:rPr>
  </w:style>
  <w:style w:type="paragraph" w:customStyle="1" w:styleId="text-box">
    <w:name w:val="text-box"/>
    <w:basedOn w:val="Normal"/>
    <w:rsid w:val="00CA068D"/>
    <w:rPr>
      <w:rFonts w:ascii="Arial" w:hAnsi="Arial" w:cs="Arial"/>
      <w:color w:val="666666"/>
      <w:sz w:val="18"/>
      <w:szCs w:val="18"/>
      <w:lang w:val="en-US" w:eastAsia="en-US"/>
    </w:rPr>
  </w:style>
  <w:style w:type="paragraph" w:styleId="TOC2">
    <w:name w:val="toc 2"/>
    <w:basedOn w:val="Normal"/>
    <w:next w:val="Normal"/>
    <w:autoRedefine/>
    <w:semiHidden/>
    <w:rsid w:val="0016090A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„DŽEMAL BIJEDIĆ“ U MOSTARU</vt:lpstr>
    </vt:vector>
  </TitlesOfParts>
  <Company>Univerzitet u Sarajevu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„DŽEMAL BIJEDIĆ“ U MOSTARU</dc:title>
  <dc:creator>Senat_30</dc:creator>
  <cp:lastModifiedBy>Irma</cp:lastModifiedBy>
  <cp:revision>2</cp:revision>
  <cp:lastPrinted>2011-04-19T10:24:00Z</cp:lastPrinted>
  <dcterms:created xsi:type="dcterms:W3CDTF">2019-02-23T13:20:00Z</dcterms:created>
  <dcterms:modified xsi:type="dcterms:W3CDTF">2019-02-23T13:20:00Z</dcterms:modified>
</cp:coreProperties>
</file>