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CA3CC0" w:rsidRPr="00F94E5B" w:rsidTr="009D2279">
        <w:trPr>
          <w:trHeight w:val="524"/>
        </w:trPr>
        <w:tc>
          <w:tcPr>
            <w:tcW w:w="10287" w:type="dxa"/>
            <w:gridSpan w:val="5"/>
            <w:tcBorders>
              <w:top w:val="double" w:sz="4" w:space="0" w:color="auto"/>
              <w:bottom w:val="double" w:sz="4" w:space="0" w:color="auto"/>
            </w:tcBorders>
            <w:shd w:val="clear" w:color="auto" w:fill="CCCCCC"/>
            <w:vAlign w:val="center"/>
          </w:tcPr>
          <w:p w:rsidR="00563205" w:rsidRPr="00563205" w:rsidRDefault="00563205" w:rsidP="00563205">
            <w:pPr>
              <w:keepNext/>
              <w:keepLines/>
              <w:jc w:val="center"/>
              <w:outlineLvl w:val="0"/>
              <w:rPr>
                <w:b/>
                <w:spacing w:val="-3"/>
                <w:sz w:val="20"/>
                <w:szCs w:val="20"/>
              </w:rPr>
            </w:pPr>
            <w:bookmarkStart w:id="0" w:name="_GoBack"/>
            <w:bookmarkEnd w:id="0"/>
            <w:r w:rsidRPr="00563205">
              <w:rPr>
                <w:b/>
                <w:spacing w:val="-3"/>
                <w:sz w:val="20"/>
                <w:szCs w:val="20"/>
              </w:rPr>
              <w:t>UNIVERSITY "DŽEMAL BIJEDIĆ" IN MOSTAR</w:t>
            </w:r>
          </w:p>
          <w:p w:rsidR="00CA3CC0" w:rsidRPr="00F94E5B" w:rsidRDefault="00563205" w:rsidP="00563205">
            <w:pPr>
              <w:jc w:val="center"/>
              <w:rPr>
                <w:b/>
                <w:spacing w:val="-3"/>
                <w:sz w:val="20"/>
                <w:szCs w:val="20"/>
              </w:rPr>
            </w:pPr>
            <w:r w:rsidRPr="00563205">
              <w:rPr>
                <w:b/>
                <w:spacing w:val="-3"/>
                <w:sz w:val="20"/>
                <w:szCs w:val="20"/>
              </w:rPr>
              <w:t>STUDY</w:t>
            </w:r>
            <w:r>
              <w:rPr>
                <w:b/>
                <w:spacing w:val="-3"/>
                <w:sz w:val="20"/>
                <w:szCs w:val="20"/>
              </w:rPr>
              <w:t xml:space="preserve"> OF </w:t>
            </w:r>
            <w:r w:rsidRPr="00563205">
              <w:rPr>
                <w:b/>
                <w:spacing w:val="-3"/>
                <w:sz w:val="20"/>
                <w:szCs w:val="20"/>
              </w:rPr>
              <w:t>TOURISM</w:t>
            </w:r>
          </w:p>
        </w:tc>
      </w:tr>
      <w:tr w:rsidR="00CA3CC0" w:rsidRPr="00F94E5B" w:rsidTr="009D2279">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CA3CC0" w:rsidRPr="00F94E5B" w:rsidRDefault="00563205" w:rsidP="00CA3CC0">
            <w:pPr>
              <w:jc w:val="center"/>
              <w:rPr>
                <w:b/>
                <w:sz w:val="20"/>
                <w:szCs w:val="20"/>
              </w:rPr>
            </w:pPr>
            <w:r w:rsidRPr="00563205">
              <w:rPr>
                <w:b/>
                <w:sz w:val="20"/>
                <w:szCs w:val="20"/>
              </w:rPr>
              <w:t>Course title:</w:t>
            </w:r>
          </w:p>
        </w:tc>
        <w:tc>
          <w:tcPr>
            <w:tcW w:w="3761" w:type="dxa"/>
            <w:gridSpan w:val="2"/>
            <w:tcBorders>
              <w:top w:val="double" w:sz="4" w:space="0" w:color="auto"/>
              <w:left w:val="double" w:sz="4" w:space="0" w:color="auto"/>
            </w:tcBorders>
            <w:vAlign w:val="center"/>
          </w:tcPr>
          <w:p w:rsidR="00CA3CC0" w:rsidRPr="00F94E5B" w:rsidRDefault="000B3358" w:rsidP="00C90D29">
            <w:pPr>
              <w:pStyle w:val="Heading1"/>
              <w:jc w:val="center"/>
              <w:rPr>
                <w:rFonts w:ascii="Times New Roman" w:hAnsi="Times New Roman"/>
                <w:b/>
                <w:sz w:val="20"/>
                <w:lang w:val="pl-PL" w:eastAsia="en-US"/>
              </w:rPr>
            </w:pPr>
            <w:r>
              <w:rPr>
                <w:rFonts w:ascii="Times New Roman" w:hAnsi="Times New Roman"/>
                <w:b/>
                <w:sz w:val="20"/>
                <w:lang w:val="pl-PL" w:eastAsia="en-US"/>
              </w:rPr>
              <w:t>Cultural Tourism</w:t>
            </w:r>
          </w:p>
        </w:tc>
        <w:tc>
          <w:tcPr>
            <w:tcW w:w="3213" w:type="dxa"/>
            <w:gridSpan w:val="2"/>
            <w:tcBorders>
              <w:top w:val="double" w:sz="4" w:space="0" w:color="auto"/>
            </w:tcBorders>
            <w:vAlign w:val="center"/>
          </w:tcPr>
          <w:p w:rsidR="00CA3CC0" w:rsidRPr="00F94E5B" w:rsidRDefault="00563205" w:rsidP="00C90D29">
            <w:pPr>
              <w:pStyle w:val="Heading1"/>
              <w:jc w:val="center"/>
              <w:rPr>
                <w:rFonts w:ascii="Times New Roman" w:hAnsi="Times New Roman"/>
                <w:b/>
                <w:sz w:val="20"/>
                <w:lang w:eastAsia="en-US"/>
              </w:rPr>
            </w:pPr>
            <w:r w:rsidRPr="00563205">
              <w:rPr>
                <w:rFonts w:ascii="Times New Roman" w:hAnsi="Times New Roman"/>
                <w:b/>
                <w:sz w:val="20"/>
                <w:lang w:eastAsia="en-US"/>
              </w:rPr>
              <w:t>Course code:</w:t>
            </w:r>
            <w:r>
              <w:rPr>
                <w:rFonts w:ascii="Times New Roman" w:hAnsi="Times New Roman"/>
                <w:b/>
                <w:sz w:val="20"/>
                <w:lang w:eastAsia="en-US"/>
              </w:rPr>
              <w:t xml:space="preserve"> </w:t>
            </w:r>
            <w:r w:rsidR="000B3358" w:rsidRPr="000B3358">
              <w:rPr>
                <w:rFonts w:ascii="Times New Roman" w:hAnsi="Times New Roman"/>
                <w:b/>
                <w:sz w:val="20"/>
                <w:lang w:eastAsia="en-US"/>
              </w:rPr>
              <w:t>ST319</w:t>
            </w:r>
          </w:p>
        </w:tc>
      </w:tr>
      <w:tr w:rsidR="00F94E5B"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563205" w:rsidP="00F94E5B">
            <w:pPr>
              <w:jc w:val="center"/>
              <w:rPr>
                <w:b/>
                <w:sz w:val="20"/>
                <w:szCs w:val="20"/>
              </w:rPr>
            </w:pPr>
            <w:r w:rsidRPr="00563205">
              <w:rPr>
                <w:b/>
                <w:sz w:val="20"/>
                <w:szCs w:val="20"/>
              </w:rPr>
              <w:t>Level of cycle, year of study, semester</w:t>
            </w:r>
          </w:p>
        </w:tc>
        <w:tc>
          <w:tcPr>
            <w:tcW w:w="3761" w:type="dxa"/>
            <w:gridSpan w:val="2"/>
            <w:tcBorders>
              <w:left w:val="double" w:sz="4" w:space="0" w:color="auto"/>
            </w:tcBorders>
            <w:vAlign w:val="center"/>
          </w:tcPr>
          <w:p w:rsidR="00F94E5B" w:rsidRPr="00C82ECA" w:rsidRDefault="00563205" w:rsidP="00F94E5B">
            <w:pPr>
              <w:jc w:val="center"/>
              <w:rPr>
                <w:sz w:val="20"/>
                <w:szCs w:val="20"/>
              </w:rPr>
            </w:pPr>
            <w:r>
              <w:rPr>
                <w:sz w:val="20"/>
                <w:szCs w:val="20"/>
              </w:rPr>
              <w:t xml:space="preserve">academic undergraduate </w:t>
            </w:r>
            <w:r w:rsidRPr="00563205">
              <w:rPr>
                <w:sz w:val="20"/>
                <w:szCs w:val="20"/>
              </w:rPr>
              <w:t>studies</w:t>
            </w:r>
          </w:p>
        </w:tc>
        <w:tc>
          <w:tcPr>
            <w:tcW w:w="3213" w:type="dxa"/>
            <w:gridSpan w:val="2"/>
            <w:vAlign w:val="center"/>
          </w:tcPr>
          <w:p w:rsidR="00F94E5B" w:rsidRPr="00C82ECA" w:rsidRDefault="00563205" w:rsidP="00F94E5B">
            <w:pPr>
              <w:jc w:val="center"/>
              <w:rPr>
                <w:sz w:val="20"/>
                <w:szCs w:val="20"/>
              </w:rPr>
            </w:pPr>
            <w:r w:rsidRPr="00563205">
              <w:rPr>
                <w:sz w:val="20"/>
                <w:szCs w:val="20"/>
              </w:rPr>
              <w:t xml:space="preserve">year: </w:t>
            </w:r>
            <w:r w:rsidR="000B3358">
              <w:rPr>
                <w:sz w:val="20"/>
                <w:szCs w:val="20"/>
              </w:rPr>
              <w:t>III/ semester: 6</w:t>
            </w:r>
            <w:r w:rsidRPr="00563205">
              <w:rPr>
                <w:sz w:val="20"/>
                <w:szCs w:val="20"/>
              </w:rPr>
              <w:t>.</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563205" w:rsidP="00CA3CC0">
            <w:pPr>
              <w:jc w:val="center"/>
              <w:rPr>
                <w:b/>
                <w:sz w:val="20"/>
                <w:szCs w:val="20"/>
              </w:rPr>
            </w:pPr>
            <w:r w:rsidRPr="00563205">
              <w:rPr>
                <w:b/>
                <w:sz w:val="20"/>
                <w:szCs w:val="20"/>
              </w:rPr>
              <w:t>Course leader:</w:t>
            </w:r>
          </w:p>
        </w:tc>
        <w:tc>
          <w:tcPr>
            <w:tcW w:w="6974" w:type="dxa"/>
            <w:gridSpan w:val="4"/>
            <w:tcBorders>
              <w:left w:val="double" w:sz="4" w:space="0" w:color="auto"/>
            </w:tcBorders>
            <w:vAlign w:val="center"/>
          </w:tcPr>
          <w:p w:rsidR="00CA3CC0" w:rsidRPr="00F94E5B" w:rsidRDefault="00563205" w:rsidP="00D34053">
            <w:pPr>
              <w:jc w:val="center"/>
              <w:rPr>
                <w:sz w:val="20"/>
                <w:szCs w:val="20"/>
              </w:rPr>
            </w:pPr>
            <w:r>
              <w:rPr>
                <w:sz w:val="20"/>
                <w:szCs w:val="20"/>
              </w:rPr>
              <w:t>Dajana Vukojević, Assistent professor</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563205" w:rsidP="00CA3CC0">
            <w:pPr>
              <w:jc w:val="center"/>
              <w:rPr>
                <w:b/>
                <w:sz w:val="20"/>
                <w:szCs w:val="20"/>
              </w:rPr>
            </w:pPr>
            <w:r w:rsidRPr="00563205">
              <w:rPr>
                <w:b/>
                <w:sz w:val="20"/>
                <w:szCs w:val="20"/>
              </w:rPr>
              <w:t>Contact details:</w:t>
            </w:r>
          </w:p>
        </w:tc>
        <w:tc>
          <w:tcPr>
            <w:tcW w:w="6974" w:type="dxa"/>
            <w:gridSpan w:val="4"/>
            <w:tcBorders>
              <w:left w:val="double" w:sz="4" w:space="0" w:color="auto"/>
            </w:tcBorders>
            <w:vAlign w:val="center"/>
          </w:tcPr>
          <w:p w:rsidR="00CA3CC0" w:rsidRPr="00F94E5B" w:rsidRDefault="00D34053" w:rsidP="00C90D29">
            <w:pPr>
              <w:rPr>
                <w:spacing w:val="-3"/>
                <w:sz w:val="20"/>
                <w:szCs w:val="20"/>
              </w:rPr>
            </w:pPr>
            <w:r w:rsidRPr="00F94E5B">
              <w:rPr>
                <w:spacing w:val="-3"/>
                <w:sz w:val="20"/>
                <w:szCs w:val="20"/>
              </w:rPr>
              <w:t xml:space="preserve"> </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563205" w:rsidP="00CA3CC0">
            <w:pPr>
              <w:jc w:val="center"/>
              <w:rPr>
                <w:b/>
                <w:sz w:val="20"/>
                <w:szCs w:val="20"/>
              </w:rPr>
            </w:pPr>
            <w:r w:rsidRPr="00563205">
              <w:rPr>
                <w:b/>
                <w:sz w:val="20"/>
                <w:szCs w:val="20"/>
              </w:rPr>
              <w:t>Total hours of course:</w:t>
            </w:r>
          </w:p>
        </w:tc>
        <w:tc>
          <w:tcPr>
            <w:tcW w:w="2611" w:type="dxa"/>
            <w:tcBorders>
              <w:left w:val="double" w:sz="4" w:space="0" w:color="auto"/>
            </w:tcBorders>
            <w:vAlign w:val="center"/>
          </w:tcPr>
          <w:p w:rsidR="00CA3CC0" w:rsidRPr="00F94E5B" w:rsidRDefault="00563205" w:rsidP="00CA3CC0">
            <w:pPr>
              <w:rPr>
                <w:sz w:val="20"/>
                <w:szCs w:val="20"/>
              </w:rPr>
            </w:pPr>
            <w:r w:rsidRPr="00563205">
              <w:rPr>
                <w:sz w:val="20"/>
                <w:szCs w:val="20"/>
              </w:rPr>
              <w:t>Hours of lectures per week: 2</w:t>
            </w:r>
          </w:p>
        </w:tc>
        <w:tc>
          <w:tcPr>
            <w:tcW w:w="2318" w:type="dxa"/>
            <w:gridSpan w:val="2"/>
            <w:vAlign w:val="center"/>
          </w:tcPr>
          <w:p w:rsidR="00CA3CC0" w:rsidRPr="00F94E5B" w:rsidRDefault="00563205" w:rsidP="00CA3CC0">
            <w:pPr>
              <w:jc w:val="center"/>
              <w:rPr>
                <w:sz w:val="20"/>
                <w:szCs w:val="20"/>
              </w:rPr>
            </w:pPr>
            <w:r w:rsidRPr="00563205">
              <w:rPr>
                <w:sz w:val="20"/>
                <w:szCs w:val="20"/>
              </w:rPr>
              <w:t>Hours of practice per week: 2</w:t>
            </w:r>
          </w:p>
        </w:tc>
        <w:tc>
          <w:tcPr>
            <w:tcW w:w="2045" w:type="dxa"/>
            <w:vAlign w:val="center"/>
          </w:tcPr>
          <w:p w:rsidR="00CA3CC0" w:rsidRPr="00F94E5B" w:rsidRDefault="00563205" w:rsidP="00CA3CC0">
            <w:pPr>
              <w:jc w:val="center"/>
              <w:rPr>
                <w:sz w:val="20"/>
                <w:szCs w:val="20"/>
              </w:rPr>
            </w:pPr>
            <w:r w:rsidRPr="00563205">
              <w:rPr>
                <w:sz w:val="20"/>
                <w:szCs w:val="20"/>
              </w:rPr>
              <w:t>Total hours: 60</w:t>
            </w:r>
          </w:p>
        </w:tc>
      </w:tr>
      <w:tr w:rsidR="00F94E5B"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563205" w:rsidP="00F94E5B">
            <w:pPr>
              <w:jc w:val="center"/>
              <w:rPr>
                <w:b/>
                <w:sz w:val="20"/>
                <w:szCs w:val="20"/>
              </w:rPr>
            </w:pPr>
            <w:r w:rsidRPr="00563205">
              <w:rPr>
                <w:b/>
                <w:sz w:val="20"/>
                <w:szCs w:val="20"/>
              </w:rPr>
              <w:t>ECTS credit score:</w:t>
            </w:r>
          </w:p>
        </w:tc>
        <w:tc>
          <w:tcPr>
            <w:tcW w:w="6974" w:type="dxa"/>
            <w:gridSpan w:val="4"/>
            <w:tcBorders>
              <w:left w:val="double" w:sz="4" w:space="0" w:color="auto"/>
            </w:tcBorders>
            <w:vAlign w:val="center"/>
          </w:tcPr>
          <w:p w:rsidR="00F94E5B" w:rsidRPr="00C82ECA" w:rsidRDefault="00F94E5B" w:rsidP="00F94E5B">
            <w:pPr>
              <w:jc w:val="center"/>
              <w:rPr>
                <w:sz w:val="20"/>
                <w:szCs w:val="20"/>
              </w:rPr>
            </w:pPr>
            <w:r w:rsidRPr="00C82ECA">
              <w:rPr>
                <w:sz w:val="20"/>
                <w:szCs w:val="20"/>
              </w:rPr>
              <w:t>5 ECTS</w:t>
            </w:r>
          </w:p>
        </w:tc>
      </w:tr>
      <w:tr w:rsidR="00F94E5B"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563205" w:rsidP="00F94E5B">
            <w:pPr>
              <w:jc w:val="center"/>
              <w:rPr>
                <w:b/>
                <w:sz w:val="20"/>
                <w:szCs w:val="20"/>
              </w:rPr>
            </w:pPr>
            <w:r>
              <w:rPr>
                <w:b/>
                <w:sz w:val="20"/>
                <w:szCs w:val="20"/>
              </w:rPr>
              <w:t xml:space="preserve">Home </w:t>
            </w:r>
            <w:r w:rsidRPr="00563205">
              <w:rPr>
                <w:b/>
                <w:sz w:val="20"/>
                <w:szCs w:val="20"/>
              </w:rPr>
              <w:t>qualification:</w:t>
            </w:r>
          </w:p>
        </w:tc>
        <w:tc>
          <w:tcPr>
            <w:tcW w:w="6974" w:type="dxa"/>
            <w:gridSpan w:val="4"/>
            <w:tcBorders>
              <w:left w:val="double" w:sz="4" w:space="0" w:color="auto"/>
            </w:tcBorders>
            <w:vAlign w:val="center"/>
          </w:tcPr>
          <w:p w:rsidR="00F94E5B" w:rsidRPr="00C82ECA" w:rsidRDefault="00F94E5B" w:rsidP="00563205">
            <w:pPr>
              <w:jc w:val="center"/>
              <w:rPr>
                <w:sz w:val="20"/>
                <w:szCs w:val="20"/>
              </w:rPr>
            </w:pPr>
            <w:r>
              <w:rPr>
                <w:sz w:val="20"/>
                <w:szCs w:val="20"/>
              </w:rPr>
              <w:t xml:space="preserve">Bachelor </w:t>
            </w:r>
            <w:r w:rsidR="00563205" w:rsidRPr="00563205">
              <w:rPr>
                <w:sz w:val="20"/>
                <w:szCs w:val="20"/>
              </w:rPr>
              <w:t>Management in tourism</w:t>
            </w:r>
          </w:p>
        </w:tc>
      </w:tr>
      <w:tr w:rsidR="00F94E5B"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563205" w:rsidP="00F94E5B">
            <w:pPr>
              <w:jc w:val="center"/>
              <w:rPr>
                <w:b/>
                <w:sz w:val="20"/>
                <w:szCs w:val="20"/>
              </w:rPr>
            </w:pPr>
            <w:r w:rsidRPr="00563205">
              <w:rPr>
                <w:b/>
                <w:sz w:val="20"/>
                <w:szCs w:val="20"/>
              </w:rPr>
              <w:t>Course status:</w:t>
            </w:r>
          </w:p>
        </w:tc>
        <w:tc>
          <w:tcPr>
            <w:tcW w:w="6974" w:type="dxa"/>
            <w:gridSpan w:val="4"/>
            <w:tcBorders>
              <w:left w:val="double" w:sz="4" w:space="0" w:color="auto"/>
            </w:tcBorders>
            <w:vAlign w:val="center"/>
          </w:tcPr>
          <w:p w:rsidR="00F94E5B" w:rsidRPr="00C82ECA" w:rsidRDefault="000B3358" w:rsidP="00F94E5B">
            <w:pPr>
              <w:jc w:val="center"/>
              <w:rPr>
                <w:sz w:val="20"/>
                <w:szCs w:val="20"/>
              </w:rPr>
            </w:pPr>
            <w:r>
              <w:rPr>
                <w:sz w:val="20"/>
                <w:szCs w:val="20"/>
              </w:rPr>
              <w:t>Elective</w:t>
            </w:r>
          </w:p>
        </w:tc>
      </w:tr>
      <w:tr w:rsidR="00F94E5B"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027552" w:rsidP="00F94E5B">
            <w:pPr>
              <w:jc w:val="center"/>
              <w:rPr>
                <w:b/>
                <w:sz w:val="20"/>
                <w:szCs w:val="20"/>
              </w:rPr>
            </w:pPr>
            <w:r w:rsidRPr="00027552">
              <w:rPr>
                <w:b/>
                <w:sz w:val="20"/>
                <w:szCs w:val="20"/>
              </w:rPr>
              <w:t>Prerequisites for placing an object:</w:t>
            </w:r>
          </w:p>
        </w:tc>
        <w:tc>
          <w:tcPr>
            <w:tcW w:w="6974" w:type="dxa"/>
            <w:gridSpan w:val="4"/>
            <w:tcBorders>
              <w:left w:val="double" w:sz="4" w:space="0" w:color="auto"/>
            </w:tcBorders>
            <w:vAlign w:val="center"/>
          </w:tcPr>
          <w:p w:rsidR="00F94E5B" w:rsidRPr="00C82ECA" w:rsidRDefault="00027552" w:rsidP="00F94E5B">
            <w:pPr>
              <w:jc w:val="center"/>
              <w:rPr>
                <w:sz w:val="20"/>
                <w:szCs w:val="20"/>
              </w:rPr>
            </w:pPr>
            <w:r w:rsidRPr="00027552">
              <w:rPr>
                <w:sz w:val="20"/>
                <w:szCs w:val="20"/>
              </w:rPr>
              <w:t>There are no</w:t>
            </w:r>
          </w:p>
        </w:tc>
      </w:tr>
      <w:tr w:rsidR="00F94E5B"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027552" w:rsidP="00F94E5B">
            <w:pPr>
              <w:jc w:val="center"/>
              <w:rPr>
                <w:b/>
                <w:sz w:val="20"/>
                <w:szCs w:val="20"/>
              </w:rPr>
            </w:pPr>
            <w:r w:rsidRPr="00027552">
              <w:rPr>
                <w:b/>
                <w:sz w:val="20"/>
                <w:szCs w:val="20"/>
              </w:rPr>
              <w:t>Access restrictions to the subject:</w:t>
            </w:r>
          </w:p>
        </w:tc>
        <w:tc>
          <w:tcPr>
            <w:tcW w:w="6974" w:type="dxa"/>
            <w:gridSpan w:val="4"/>
            <w:tcBorders>
              <w:left w:val="double" w:sz="4" w:space="0" w:color="auto"/>
            </w:tcBorders>
            <w:vAlign w:val="center"/>
          </w:tcPr>
          <w:p w:rsidR="00F94E5B" w:rsidRPr="00C82ECA" w:rsidRDefault="00027552" w:rsidP="00F94E5B">
            <w:pPr>
              <w:jc w:val="center"/>
              <w:rPr>
                <w:sz w:val="20"/>
                <w:szCs w:val="20"/>
              </w:rPr>
            </w:pPr>
            <w:r w:rsidRPr="00027552">
              <w:rPr>
                <w:sz w:val="20"/>
                <w:szCs w:val="20"/>
              </w:rPr>
              <w:t>Only for students Studying Tourism</w:t>
            </w:r>
          </w:p>
        </w:tc>
      </w:tr>
      <w:tr w:rsidR="00F94E5B"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F94E5B" w:rsidRPr="00F94E5B" w:rsidRDefault="00027552" w:rsidP="00F94E5B">
            <w:pPr>
              <w:jc w:val="center"/>
              <w:rPr>
                <w:b/>
                <w:sz w:val="20"/>
                <w:szCs w:val="20"/>
              </w:rPr>
            </w:pPr>
            <w:r w:rsidRPr="00027552">
              <w:rPr>
                <w:b/>
                <w:sz w:val="20"/>
                <w:szCs w:val="20"/>
              </w:rPr>
              <w:t>Explanation of the score:</w:t>
            </w:r>
          </w:p>
        </w:tc>
        <w:tc>
          <w:tcPr>
            <w:tcW w:w="6974" w:type="dxa"/>
            <w:gridSpan w:val="4"/>
            <w:tcBorders>
              <w:left w:val="double" w:sz="4" w:space="0" w:color="auto"/>
            </w:tcBorders>
            <w:vAlign w:val="center"/>
          </w:tcPr>
          <w:p w:rsidR="00F94E5B" w:rsidRPr="00C82ECA" w:rsidRDefault="00027552" w:rsidP="00F94E5B">
            <w:pPr>
              <w:jc w:val="both"/>
              <w:rPr>
                <w:sz w:val="20"/>
                <w:szCs w:val="20"/>
              </w:rPr>
            </w:pPr>
            <w:r w:rsidRPr="00027552">
              <w:rPr>
                <w:sz w:val="20"/>
                <w:szCs w:val="20"/>
              </w:rPr>
              <w:t>The number of ECTS points corresponds to the number of hours required for the realization of teaching obligations and the preparation of the exam.</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027552" w:rsidP="00CA3CC0">
            <w:pPr>
              <w:jc w:val="center"/>
              <w:rPr>
                <w:b/>
                <w:sz w:val="20"/>
                <w:szCs w:val="20"/>
              </w:rPr>
            </w:pPr>
            <w:r w:rsidRPr="00027552">
              <w:rPr>
                <w:b/>
                <w:sz w:val="20"/>
                <w:szCs w:val="20"/>
              </w:rPr>
              <w:t>Objective:</w:t>
            </w:r>
          </w:p>
        </w:tc>
        <w:tc>
          <w:tcPr>
            <w:tcW w:w="6974" w:type="dxa"/>
            <w:gridSpan w:val="4"/>
            <w:tcBorders>
              <w:left w:val="double" w:sz="4" w:space="0" w:color="auto"/>
            </w:tcBorders>
            <w:vAlign w:val="center"/>
          </w:tcPr>
          <w:p w:rsidR="00C90D29" w:rsidRPr="00F94E5B" w:rsidRDefault="000B3358" w:rsidP="005B35AB">
            <w:pPr>
              <w:jc w:val="both"/>
              <w:rPr>
                <w:spacing w:val="-3"/>
                <w:sz w:val="20"/>
                <w:szCs w:val="20"/>
              </w:rPr>
            </w:pPr>
            <w:r w:rsidRPr="000B3358">
              <w:rPr>
                <w:spacing w:val="-3"/>
                <w:sz w:val="20"/>
                <w:szCs w:val="20"/>
              </w:rPr>
              <w:t>The objective of the course is to introduce students to the development of cultural tourism and to enable them to acquire the knowledge and practical skills needed in the design, development and promotion of cultural tourism.</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027552" w:rsidP="00CA3CC0">
            <w:pPr>
              <w:jc w:val="center"/>
              <w:rPr>
                <w:b/>
                <w:sz w:val="20"/>
                <w:szCs w:val="20"/>
                <w:highlight w:val="yellow"/>
              </w:rPr>
            </w:pPr>
            <w:r w:rsidRPr="00027552">
              <w:rPr>
                <w:b/>
                <w:sz w:val="20"/>
                <w:szCs w:val="20"/>
              </w:rPr>
              <w:t>Description of general and specific competences (knowledge and skills) / learning outcomes:</w:t>
            </w:r>
          </w:p>
        </w:tc>
        <w:tc>
          <w:tcPr>
            <w:tcW w:w="6974" w:type="dxa"/>
            <w:gridSpan w:val="4"/>
            <w:tcBorders>
              <w:left w:val="double" w:sz="4" w:space="0" w:color="auto"/>
            </w:tcBorders>
            <w:vAlign w:val="center"/>
          </w:tcPr>
          <w:p w:rsidR="000B3358" w:rsidRPr="000B3358" w:rsidRDefault="000B3358" w:rsidP="000B3358">
            <w:pPr>
              <w:shd w:val="clear" w:color="auto" w:fill="FFFFFF"/>
              <w:jc w:val="both"/>
              <w:rPr>
                <w:sz w:val="20"/>
                <w:szCs w:val="20"/>
              </w:rPr>
            </w:pPr>
            <w:r>
              <w:rPr>
                <w:sz w:val="20"/>
                <w:szCs w:val="20"/>
              </w:rPr>
              <w:t xml:space="preserve">- </w:t>
            </w:r>
            <w:r w:rsidRPr="000B3358">
              <w:rPr>
                <w:sz w:val="20"/>
                <w:szCs w:val="20"/>
              </w:rPr>
              <w:t>define the term cultural tourism, a cultural tourist</w:t>
            </w:r>
          </w:p>
          <w:p w:rsidR="000B3358" w:rsidRPr="000B3358" w:rsidRDefault="000B3358" w:rsidP="000B3358">
            <w:pPr>
              <w:shd w:val="clear" w:color="auto" w:fill="FFFFFF"/>
              <w:jc w:val="both"/>
              <w:rPr>
                <w:sz w:val="20"/>
                <w:szCs w:val="20"/>
              </w:rPr>
            </w:pPr>
            <w:r w:rsidRPr="000B3358">
              <w:rPr>
                <w:sz w:val="20"/>
                <w:szCs w:val="20"/>
              </w:rPr>
              <w:t>- to distinguish forms of cultural tourism</w:t>
            </w:r>
          </w:p>
          <w:p w:rsidR="000B3358" w:rsidRPr="000B3358" w:rsidRDefault="000B3358" w:rsidP="000B3358">
            <w:pPr>
              <w:shd w:val="clear" w:color="auto" w:fill="FFFFFF"/>
              <w:jc w:val="both"/>
              <w:rPr>
                <w:sz w:val="20"/>
                <w:szCs w:val="20"/>
              </w:rPr>
            </w:pPr>
            <w:r w:rsidRPr="000B3358">
              <w:rPr>
                <w:sz w:val="20"/>
                <w:szCs w:val="20"/>
              </w:rPr>
              <w:t>- analyze the attraction basis as the preconditions for the development of cultural tourism and the characteristics of the supply and demand of cultural tourism</w:t>
            </w:r>
          </w:p>
          <w:p w:rsidR="000B3358" w:rsidRPr="000B3358" w:rsidRDefault="000B3358" w:rsidP="000B3358">
            <w:pPr>
              <w:shd w:val="clear" w:color="auto" w:fill="FFFFFF"/>
              <w:jc w:val="both"/>
              <w:rPr>
                <w:sz w:val="20"/>
                <w:szCs w:val="20"/>
              </w:rPr>
            </w:pPr>
            <w:r w:rsidRPr="000B3358">
              <w:rPr>
                <w:sz w:val="20"/>
                <w:szCs w:val="20"/>
              </w:rPr>
              <w:t>- describe the role of the state in the development of cultural tourism</w:t>
            </w:r>
          </w:p>
          <w:p w:rsidR="00C90D29" w:rsidRPr="00F94E5B" w:rsidRDefault="000B3358" w:rsidP="000B3358">
            <w:pPr>
              <w:shd w:val="clear" w:color="auto" w:fill="FFFFFF"/>
              <w:jc w:val="both"/>
              <w:rPr>
                <w:sz w:val="20"/>
                <w:szCs w:val="20"/>
              </w:rPr>
            </w:pPr>
            <w:r w:rsidRPr="000B3358">
              <w:rPr>
                <w:sz w:val="20"/>
                <w:szCs w:val="20"/>
              </w:rPr>
              <w:t>- analyze the possibilities of developing cultural tourism</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FA37D3" w:rsidP="00CA3CC0">
            <w:pPr>
              <w:jc w:val="center"/>
              <w:rPr>
                <w:b/>
                <w:sz w:val="20"/>
                <w:szCs w:val="20"/>
              </w:rPr>
            </w:pPr>
            <w:r>
              <w:rPr>
                <w:b/>
                <w:sz w:val="20"/>
                <w:szCs w:val="20"/>
              </w:rPr>
              <w:t>Indicative course</w:t>
            </w:r>
            <w:r w:rsidR="00027552" w:rsidRPr="00027552">
              <w:rPr>
                <w:b/>
                <w:sz w:val="20"/>
                <w:szCs w:val="20"/>
              </w:rPr>
              <w:t xml:space="preserve"> content:</w:t>
            </w:r>
          </w:p>
        </w:tc>
        <w:tc>
          <w:tcPr>
            <w:tcW w:w="6974" w:type="dxa"/>
            <w:gridSpan w:val="4"/>
            <w:tcBorders>
              <w:left w:val="double" w:sz="4" w:space="0" w:color="auto"/>
            </w:tcBorders>
            <w:vAlign w:val="center"/>
          </w:tcPr>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The notion of culture and cultural heritage</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Management of cultural resources in tourism</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Cultural tourists: requirements of tourist demand, identification of cultural and tourist potentials</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Concept, content, identity and development of cultural and tourist destination</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Selective forms and forms of cultural tourism</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Presentation and interpretation of heritage in cultural tourism</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The concept of sustainability in tourism - the protection of heritage in cultural tourism</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Competitiveness of cultural tourism</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Promotion of cultural and tourist products</w:t>
            </w:r>
          </w:p>
          <w:p w:rsidR="000B3358" w:rsidRPr="000B3358" w:rsidRDefault="000B3358" w:rsidP="000B3358">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The role of the state in the development of tourism tourism</w:t>
            </w:r>
          </w:p>
          <w:p w:rsidR="00B80C12" w:rsidRPr="00E806BC" w:rsidRDefault="000B3358" w:rsidP="00AF1005">
            <w:pPr>
              <w:pStyle w:val="ListParagraph"/>
              <w:numPr>
                <w:ilvl w:val="0"/>
                <w:numId w:val="10"/>
              </w:numPr>
              <w:autoSpaceDE w:val="0"/>
              <w:autoSpaceDN w:val="0"/>
              <w:adjustRightInd w:val="0"/>
              <w:jc w:val="both"/>
              <w:rPr>
                <w:spacing w:val="-3"/>
                <w:sz w:val="20"/>
                <w:szCs w:val="20"/>
                <w:lang w:eastAsia="en-US"/>
              </w:rPr>
            </w:pPr>
            <w:r w:rsidRPr="000B3358">
              <w:rPr>
                <w:spacing w:val="-3"/>
                <w:sz w:val="20"/>
                <w:szCs w:val="20"/>
                <w:lang w:eastAsia="en-US"/>
              </w:rPr>
              <w:t>Cultural tourism in BiH</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027552" w:rsidP="00CA3CC0">
            <w:pPr>
              <w:jc w:val="center"/>
              <w:rPr>
                <w:b/>
                <w:sz w:val="20"/>
                <w:szCs w:val="20"/>
              </w:rPr>
            </w:pPr>
            <w:r w:rsidRPr="00027552">
              <w:rPr>
                <w:b/>
                <w:sz w:val="20"/>
                <w:szCs w:val="20"/>
              </w:rPr>
              <w:t>Forms of teaching / learning methods:</w:t>
            </w:r>
          </w:p>
        </w:tc>
        <w:tc>
          <w:tcPr>
            <w:tcW w:w="6974" w:type="dxa"/>
            <w:gridSpan w:val="4"/>
            <w:tcBorders>
              <w:left w:val="double" w:sz="4" w:space="0" w:color="auto"/>
            </w:tcBorders>
            <w:vAlign w:val="center"/>
          </w:tcPr>
          <w:p w:rsidR="00C90D29" w:rsidRPr="00F94E5B" w:rsidRDefault="00C90D29" w:rsidP="00F05D25">
            <w:pPr>
              <w:jc w:val="both"/>
              <w:rPr>
                <w:spacing w:val="-3"/>
                <w:sz w:val="20"/>
                <w:szCs w:val="20"/>
              </w:rPr>
            </w:pPr>
          </w:p>
          <w:p w:rsidR="00C90D29" w:rsidRPr="00F94E5B" w:rsidRDefault="00C34398" w:rsidP="00406DCA">
            <w:pPr>
              <w:jc w:val="center"/>
              <w:rPr>
                <w:spacing w:val="-3"/>
                <w:sz w:val="20"/>
                <w:szCs w:val="20"/>
              </w:rPr>
            </w:pPr>
            <w:r>
              <w:rPr>
                <w:spacing w:val="-3"/>
                <w:sz w:val="20"/>
                <w:szCs w:val="20"/>
              </w:rPr>
              <w:t xml:space="preserve">Lectures, Exercises, </w:t>
            </w:r>
            <w:r w:rsidRPr="00C34398">
              <w:rPr>
                <w:spacing w:val="-3"/>
                <w:sz w:val="20"/>
                <w:szCs w:val="20"/>
              </w:rPr>
              <w:t>Discussion</w:t>
            </w:r>
            <w:r w:rsidR="00AF1005">
              <w:rPr>
                <w:spacing w:val="-3"/>
                <w:sz w:val="20"/>
                <w:szCs w:val="20"/>
              </w:rPr>
              <w:t>, Case study</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CA3CC0" w:rsidRPr="00F94E5B" w:rsidRDefault="00406DCA" w:rsidP="00CA3CC0">
            <w:pPr>
              <w:jc w:val="center"/>
              <w:rPr>
                <w:b/>
                <w:sz w:val="20"/>
                <w:szCs w:val="20"/>
              </w:rPr>
            </w:pPr>
            <w:r w:rsidRPr="00406DCA">
              <w:rPr>
                <w:b/>
                <w:sz w:val="20"/>
                <w:szCs w:val="20"/>
              </w:rPr>
              <w:t>Other obligations of the student (if they are foreseen):</w:t>
            </w:r>
          </w:p>
        </w:tc>
        <w:tc>
          <w:tcPr>
            <w:tcW w:w="6974" w:type="dxa"/>
            <w:gridSpan w:val="4"/>
            <w:tcBorders>
              <w:left w:val="double" w:sz="4" w:space="0" w:color="auto"/>
            </w:tcBorders>
            <w:vAlign w:val="center"/>
          </w:tcPr>
          <w:p w:rsidR="00C90D29" w:rsidRPr="00F94E5B" w:rsidRDefault="00C90D29" w:rsidP="00C34398">
            <w:pPr>
              <w:jc w:val="center"/>
              <w:rPr>
                <w:spacing w:val="-3"/>
                <w:sz w:val="20"/>
                <w:szCs w:val="20"/>
              </w:rPr>
            </w:pPr>
          </w:p>
        </w:tc>
      </w:tr>
      <w:tr w:rsidR="00CA3CC0" w:rsidRPr="00F94E5B" w:rsidTr="009D2279">
        <w:trPr>
          <w:trHeight w:val="712"/>
        </w:trPr>
        <w:tc>
          <w:tcPr>
            <w:tcW w:w="3313" w:type="dxa"/>
            <w:tcBorders>
              <w:top w:val="single" w:sz="4" w:space="0" w:color="auto"/>
              <w:bottom w:val="single" w:sz="4" w:space="0" w:color="auto"/>
              <w:right w:val="double" w:sz="4" w:space="0" w:color="auto"/>
            </w:tcBorders>
            <w:shd w:val="clear" w:color="auto" w:fill="CCCCCC"/>
          </w:tcPr>
          <w:p w:rsidR="00CA3CC0" w:rsidRPr="00F94E5B" w:rsidRDefault="00406DCA" w:rsidP="00B94A36">
            <w:pPr>
              <w:jc w:val="center"/>
              <w:rPr>
                <w:b/>
                <w:sz w:val="20"/>
                <w:szCs w:val="20"/>
              </w:rPr>
            </w:pPr>
            <w:r w:rsidRPr="00406DCA">
              <w:rPr>
                <w:b/>
                <w:sz w:val="20"/>
                <w:szCs w:val="20"/>
              </w:rPr>
              <w:t>Knowledge check / exam way and% weight factor:</w:t>
            </w:r>
          </w:p>
        </w:tc>
        <w:tc>
          <w:tcPr>
            <w:tcW w:w="6974" w:type="dxa"/>
            <w:gridSpan w:val="4"/>
            <w:tcBorders>
              <w:left w:val="double" w:sz="4" w:space="0" w:color="auto"/>
            </w:tcBorders>
          </w:tcPr>
          <w:p w:rsidR="000B3358" w:rsidRPr="000B3358" w:rsidRDefault="000B3358" w:rsidP="000B3358">
            <w:pPr>
              <w:rPr>
                <w:spacing w:val="-3"/>
                <w:sz w:val="20"/>
                <w:szCs w:val="20"/>
              </w:rPr>
            </w:pPr>
            <w:r>
              <w:rPr>
                <w:spacing w:val="-3"/>
                <w:sz w:val="20"/>
                <w:szCs w:val="20"/>
              </w:rPr>
              <w:t>1. A</w:t>
            </w:r>
            <w:r w:rsidRPr="000B3358">
              <w:rPr>
                <w:spacing w:val="-3"/>
                <w:sz w:val="20"/>
                <w:szCs w:val="20"/>
              </w:rPr>
              <w:t>ttandance (5%)</w:t>
            </w:r>
          </w:p>
          <w:p w:rsidR="000B3358" w:rsidRPr="000B3358" w:rsidRDefault="000B3358" w:rsidP="000B3358">
            <w:pPr>
              <w:rPr>
                <w:spacing w:val="-3"/>
                <w:sz w:val="20"/>
                <w:szCs w:val="20"/>
              </w:rPr>
            </w:pPr>
            <w:r>
              <w:rPr>
                <w:spacing w:val="-3"/>
                <w:sz w:val="20"/>
                <w:szCs w:val="20"/>
              </w:rPr>
              <w:t>2. P</w:t>
            </w:r>
            <w:r w:rsidRPr="000B3358">
              <w:rPr>
                <w:spacing w:val="-3"/>
                <w:sz w:val="20"/>
                <w:szCs w:val="20"/>
              </w:rPr>
              <w:t>resentation (20%)</w:t>
            </w:r>
          </w:p>
          <w:p w:rsidR="000B3358" w:rsidRPr="000B3358" w:rsidRDefault="000B3358" w:rsidP="000B3358">
            <w:pPr>
              <w:rPr>
                <w:spacing w:val="-3"/>
                <w:sz w:val="20"/>
                <w:szCs w:val="20"/>
              </w:rPr>
            </w:pPr>
            <w:r>
              <w:rPr>
                <w:spacing w:val="-3"/>
                <w:sz w:val="20"/>
                <w:szCs w:val="20"/>
              </w:rPr>
              <w:t>3. Case S</w:t>
            </w:r>
            <w:r w:rsidRPr="000B3358">
              <w:rPr>
                <w:spacing w:val="-3"/>
                <w:sz w:val="20"/>
                <w:szCs w:val="20"/>
              </w:rPr>
              <w:t>tudies (35%)</w:t>
            </w:r>
          </w:p>
          <w:p w:rsidR="00C90D29" w:rsidRPr="00F94E5B" w:rsidRDefault="000B3358" w:rsidP="000B3358">
            <w:pPr>
              <w:rPr>
                <w:spacing w:val="-3"/>
                <w:sz w:val="20"/>
                <w:szCs w:val="20"/>
              </w:rPr>
            </w:pPr>
            <w:r>
              <w:rPr>
                <w:spacing w:val="-3"/>
                <w:sz w:val="20"/>
                <w:szCs w:val="20"/>
              </w:rPr>
              <w:t>4. T</w:t>
            </w:r>
            <w:r w:rsidRPr="000B3358">
              <w:rPr>
                <w:spacing w:val="-3"/>
                <w:sz w:val="20"/>
                <w:szCs w:val="20"/>
              </w:rPr>
              <w:t>est (final) (40%)</w:t>
            </w:r>
          </w:p>
        </w:tc>
      </w:tr>
      <w:tr w:rsidR="00CA3CC0" w:rsidRPr="00F94E5B" w:rsidTr="009D2279">
        <w:tc>
          <w:tcPr>
            <w:tcW w:w="3313" w:type="dxa"/>
            <w:tcBorders>
              <w:top w:val="single" w:sz="4" w:space="0" w:color="auto"/>
              <w:bottom w:val="single" w:sz="4" w:space="0" w:color="auto"/>
              <w:right w:val="double" w:sz="4" w:space="0" w:color="auto"/>
            </w:tcBorders>
            <w:shd w:val="clear" w:color="auto" w:fill="CCCCCC"/>
            <w:vAlign w:val="center"/>
          </w:tcPr>
          <w:p w:rsidR="00406DCA" w:rsidRPr="00406DCA" w:rsidRDefault="00406DCA" w:rsidP="00406DCA">
            <w:pPr>
              <w:jc w:val="center"/>
              <w:rPr>
                <w:b/>
                <w:sz w:val="20"/>
                <w:szCs w:val="20"/>
              </w:rPr>
            </w:pPr>
            <w:r w:rsidRPr="00406DCA">
              <w:rPr>
                <w:b/>
                <w:sz w:val="20"/>
                <w:szCs w:val="20"/>
              </w:rPr>
              <w:t>List of basic literature and</w:t>
            </w:r>
          </w:p>
          <w:p w:rsidR="00CA3CC0" w:rsidRPr="00F94E5B" w:rsidRDefault="00406DCA" w:rsidP="00406DCA">
            <w:pPr>
              <w:jc w:val="center"/>
              <w:rPr>
                <w:b/>
                <w:sz w:val="20"/>
                <w:szCs w:val="20"/>
              </w:rPr>
            </w:pPr>
            <w:r w:rsidRPr="00406DCA">
              <w:rPr>
                <w:b/>
                <w:sz w:val="20"/>
                <w:szCs w:val="20"/>
              </w:rPr>
              <w:t>Internet web references:</w:t>
            </w:r>
          </w:p>
        </w:tc>
        <w:tc>
          <w:tcPr>
            <w:tcW w:w="6974" w:type="dxa"/>
            <w:gridSpan w:val="4"/>
            <w:tcBorders>
              <w:left w:val="double" w:sz="4" w:space="0" w:color="auto"/>
            </w:tcBorders>
            <w:vAlign w:val="center"/>
          </w:tcPr>
          <w:p w:rsidR="009D2279" w:rsidRPr="009D2279" w:rsidRDefault="009D2279" w:rsidP="009D2279">
            <w:pPr>
              <w:pStyle w:val="ListParagraph"/>
              <w:numPr>
                <w:ilvl w:val="0"/>
                <w:numId w:val="11"/>
              </w:numPr>
              <w:rPr>
                <w:sz w:val="20"/>
                <w:szCs w:val="20"/>
                <w:lang w:val="sr-Latn-BA"/>
              </w:rPr>
            </w:pPr>
            <w:r w:rsidRPr="009D2279">
              <w:rPr>
                <w:sz w:val="20"/>
                <w:szCs w:val="20"/>
                <w:lang w:val="sr-Latn-BA"/>
              </w:rPr>
              <w:t>Robinson, M., Picard, D. (2006): Tourism, Culture and Sustainable Development, UNESCO Digital Library</w:t>
            </w:r>
            <w:r>
              <w:rPr>
                <w:sz w:val="20"/>
                <w:szCs w:val="20"/>
                <w:lang w:val="sr-Latn-BA"/>
              </w:rPr>
              <w:t>.</w:t>
            </w:r>
          </w:p>
          <w:p w:rsidR="009D2279" w:rsidRPr="009D2279" w:rsidRDefault="009D2279" w:rsidP="009D2279">
            <w:pPr>
              <w:pStyle w:val="ListParagraph"/>
              <w:numPr>
                <w:ilvl w:val="0"/>
                <w:numId w:val="11"/>
              </w:numPr>
              <w:rPr>
                <w:sz w:val="20"/>
                <w:szCs w:val="20"/>
                <w:lang w:val="sr-Latn-BA"/>
              </w:rPr>
            </w:pPr>
            <w:r>
              <w:rPr>
                <w:sz w:val="20"/>
                <w:szCs w:val="20"/>
                <w:lang w:val="sr-Latn-BA"/>
              </w:rPr>
              <w:t>S</w:t>
            </w:r>
            <w:r w:rsidRPr="009D2279">
              <w:rPr>
                <w:sz w:val="20"/>
                <w:szCs w:val="20"/>
                <w:lang w:val="sr-Latn-BA"/>
              </w:rPr>
              <w:t>mith, M. Richards, G. (2017): The Routledge Handbook of Cultural Tourism, Routledge, London</w:t>
            </w:r>
            <w:r>
              <w:rPr>
                <w:sz w:val="20"/>
                <w:szCs w:val="20"/>
                <w:lang w:val="sr-Latn-BA"/>
              </w:rPr>
              <w:t>.</w:t>
            </w:r>
          </w:p>
          <w:p w:rsidR="00E806BC" w:rsidRDefault="00E806BC" w:rsidP="00E806BC">
            <w:pPr>
              <w:pStyle w:val="ListParagraph"/>
              <w:numPr>
                <w:ilvl w:val="0"/>
                <w:numId w:val="11"/>
              </w:numPr>
              <w:rPr>
                <w:sz w:val="20"/>
                <w:szCs w:val="20"/>
                <w:lang w:val="sr-Latn-BA"/>
              </w:rPr>
            </w:pPr>
            <w:r w:rsidRPr="00E806BC">
              <w:rPr>
                <w:sz w:val="20"/>
                <w:szCs w:val="20"/>
                <w:lang w:val="sr-Latn-BA"/>
              </w:rPr>
              <w:t>Bob McKercher, Hilary du Cros (2012): Cultural Tourism the Partnership Between Tourism and Cultural Heretage Management</w:t>
            </w:r>
            <w:r>
              <w:rPr>
                <w:sz w:val="20"/>
                <w:szCs w:val="20"/>
                <w:lang w:val="sr-Latn-BA"/>
              </w:rPr>
              <w:t>. Routledge Taylor &amp; Francis Group. New York and London.</w:t>
            </w:r>
          </w:p>
          <w:p w:rsidR="009D2279" w:rsidRDefault="009D2279" w:rsidP="009D2279">
            <w:pPr>
              <w:pStyle w:val="ListParagraph"/>
              <w:numPr>
                <w:ilvl w:val="0"/>
                <w:numId w:val="11"/>
              </w:numPr>
              <w:rPr>
                <w:sz w:val="20"/>
                <w:szCs w:val="20"/>
                <w:lang w:val="sr-Latn-BA"/>
              </w:rPr>
            </w:pPr>
            <w:r w:rsidRPr="009D2279">
              <w:rPr>
                <w:sz w:val="20"/>
                <w:szCs w:val="20"/>
                <w:lang w:val="sr-Latn-BA"/>
              </w:rPr>
              <w:t>Tourism and Culture Synergies, UNWTO, 2018</w:t>
            </w:r>
            <w:r>
              <w:rPr>
                <w:sz w:val="20"/>
                <w:szCs w:val="20"/>
                <w:lang w:val="sr-Latn-BA"/>
              </w:rPr>
              <w:t>.</w:t>
            </w:r>
          </w:p>
          <w:p w:rsidR="00C11EB7" w:rsidRDefault="00B61B4D" w:rsidP="000B3358">
            <w:pPr>
              <w:pStyle w:val="ListParagraph"/>
              <w:numPr>
                <w:ilvl w:val="0"/>
                <w:numId w:val="11"/>
              </w:numPr>
              <w:rPr>
                <w:sz w:val="20"/>
                <w:szCs w:val="20"/>
                <w:lang w:val="sr-Latn-BA"/>
              </w:rPr>
            </w:pPr>
            <w:r>
              <w:rPr>
                <w:sz w:val="20"/>
                <w:szCs w:val="20"/>
                <w:lang w:val="sr-Latn-BA"/>
              </w:rPr>
              <w:t>Cultural Tourism (2013): Razaq Raj, Kevin Griffin, Nigel Morpeth (ed.) MPG Books Group, UK.</w:t>
            </w:r>
          </w:p>
          <w:p w:rsidR="00B61B4D" w:rsidRPr="009D2279" w:rsidRDefault="009D2279" w:rsidP="009D2279">
            <w:pPr>
              <w:pStyle w:val="ListParagraph"/>
              <w:numPr>
                <w:ilvl w:val="0"/>
                <w:numId w:val="11"/>
              </w:numPr>
              <w:rPr>
                <w:sz w:val="20"/>
                <w:szCs w:val="20"/>
                <w:lang w:val="sr-Latn-BA"/>
              </w:rPr>
            </w:pPr>
            <w:r w:rsidRPr="009D2279">
              <w:rPr>
                <w:sz w:val="20"/>
                <w:szCs w:val="20"/>
                <w:lang w:val="sr-Latn-BA"/>
              </w:rPr>
              <w:t>Hadžić, O., Nedeljković-Knežević, M., Pivac, T. (2018): Menadžement održivog razvoja kulturnog turizma-stejkholderski pristup, Univerzitet u Novo Sadu, Prirodno-matematički fakultet, Departman za geografiju, turizam i hotelijerstvo, Novi Sad</w:t>
            </w:r>
            <w:r>
              <w:rPr>
                <w:sz w:val="20"/>
                <w:szCs w:val="20"/>
                <w:lang w:val="sr-Latn-BA"/>
              </w:rPr>
              <w:t>.</w:t>
            </w:r>
          </w:p>
        </w:tc>
      </w:tr>
      <w:tr w:rsidR="00CA3CC0" w:rsidRPr="00F94E5B" w:rsidTr="009D2279">
        <w:tc>
          <w:tcPr>
            <w:tcW w:w="3313" w:type="dxa"/>
            <w:tcBorders>
              <w:top w:val="single" w:sz="4" w:space="0" w:color="auto"/>
              <w:bottom w:val="double" w:sz="4" w:space="0" w:color="auto"/>
              <w:right w:val="double" w:sz="4" w:space="0" w:color="auto"/>
            </w:tcBorders>
            <w:shd w:val="clear" w:color="auto" w:fill="CCCCCC"/>
          </w:tcPr>
          <w:p w:rsidR="00CA3CC0" w:rsidRPr="00F94E5B" w:rsidRDefault="00B50DAD" w:rsidP="00B94A36">
            <w:pPr>
              <w:jc w:val="center"/>
              <w:rPr>
                <w:b/>
                <w:sz w:val="20"/>
                <w:szCs w:val="20"/>
              </w:rPr>
            </w:pPr>
            <w:r>
              <w:rPr>
                <w:b/>
                <w:sz w:val="20"/>
                <w:szCs w:val="20"/>
              </w:rPr>
              <w:t>M</w:t>
            </w:r>
            <w:r w:rsidR="00E9641A" w:rsidRPr="00E9641A">
              <w:rPr>
                <w:b/>
                <w:sz w:val="20"/>
                <w:szCs w:val="20"/>
              </w:rPr>
              <w:t>onitor</w:t>
            </w:r>
            <w:r>
              <w:rPr>
                <w:b/>
                <w:sz w:val="20"/>
                <w:szCs w:val="20"/>
              </w:rPr>
              <w:t>ing</w:t>
            </w:r>
            <w:r w:rsidR="00E9641A" w:rsidRPr="00E9641A">
              <w:rPr>
                <w:b/>
                <w:sz w:val="20"/>
                <w:szCs w:val="20"/>
              </w:rPr>
              <w:t xml:space="preserve"> the quality a</w:t>
            </w:r>
            <w:r>
              <w:rPr>
                <w:b/>
                <w:sz w:val="20"/>
                <w:szCs w:val="20"/>
              </w:rPr>
              <w:t xml:space="preserve">nd effectiveness of the course </w:t>
            </w:r>
            <w:r w:rsidR="00E9641A" w:rsidRPr="00E9641A">
              <w:rPr>
                <w:b/>
                <w:sz w:val="20"/>
                <w:szCs w:val="20"/>
              </w:rPr>
              <w:t>realization:</w:t>
            </w:r>
          </w:p>
        </w:tc>
        <w:tc>
          <w:tcPr>
            <w:tcW w:w="6974" w:type="dxa"/>
            <w:gridSpan w:val="4"/>
            <w:tcBorders>
              <w:left w:val="double" w:sz="4" w:space="0" w:color="auto"/>
            </w:tcBorders>
          </w:tcPr>
          <w:p w:rsidR="00C90D29" w:rsidRPr="00F94E5B" w:rsidRDefault="00B50DAD" w:rsidP="00B50DAD">
            <w:pPr>
              <w:jc w:val="center"/>
              <w:rPr>
                <w:sz w:val="20"/>
                <w:szCs w:val="20"/>
              </w:rPr>
            </w:pPr>
            <w:r>
              <w:t xml:space="preserve"> </w:t>
            </w:r>
            <w:r w:rsidRPr="00B50DAD">
              <w:rPr>
                <w:sz w:val="20"/>
                <w:szCs w:val="20"/>
              </w:rPr>
              <w:t>Anonymous survey among students on the success of the course.</w:t>
            </w:r>
          </w:p>
        </w:tc>
      </w:tr>
    </w:tbl>
    <w:p w:rsidR="00BE447C" w:rsidRDefault="00BE447C" w:rsidP="00AE0161"/>
    <w:sectPr w:rsidR="00BE447C" w:rsidSect="00F94E5B">
      <w:pgSz w:w="11906" w:h="16838"/>
      <w:pgMar w:top="720" w:right="720" w:bottom="720" w:left="72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4D Gothic">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7E"/>
    <w:multiLevelType w:val="hybridMultilevel"/>
    <w:tmpl w:val="6F5EE0E0"/>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
    <w:nsid w:val="1767015D"/>
    <w:multiLevelType w:val="hybridMultilevel"/>
    <w:tmpl w:val="02AE33DC"/>
    <w:lvl w:ilvl="0" w:tplc="54F6DEDE">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
    <w:nsid w:val="187B540D"/>
    <w:multiLevelType w:val="hybridMultilevel"/>
    <w:tmpl w:val="CE983310"/>
    <w:lvl w:ilvl="0" w:tplc="7BEC6F0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88A21B4"/>
    <w:multiLevelType w:val="hybridMultilevel"/>
    <w:tmpl w:val="BACE0E34"/>
    <w:lvl w:ilvl="0" w:tplc="24DC5E4A">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
    <w:nsid w:val="1ECD55E2"/>
    <w:multiLevelType w:val="hybridMultilevel"/>
    <w:tmpl w:val="2CD0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76DA2"/>
    <w:multiLevelType w:val="hybridMultilevel"/>
    <w:tmpl w:val="488A48B4"/>
    <w:lvl w:ilvl="0" w:tplc="F6C2007E">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
    <w:nsid w:val="3D2864D2"/>
    <w:multiLevelType w:val="hybridMultilevel"/>
    <w:tmpl w:val="4AB8D8DC"/>
    <w:lvl w:ilvl="0" w:tplc="54F6DEDE">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7">
    <w:nsid w:val="49A62CBF"/>
    <w:multiLevelType w:val="hybridMultilevel"/>
    <w:tmpl w:val="4E5450AE"/>
    <w:lvl w:ilvl="0" w:tplc="3E709D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6493E"/>
    <w:multiLevelType w:val="hybridMultilevel"/>
    <w:tmpl w:val="2C0AEBD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9">
    <w:nsid w:val="5A4E2EA3"/>
    <w:multiLevelType w:val="hybridMultilevel"/>
    <w:tmpl w:val="555C0A4A"/>
    <w:lvl w:ilvl="0" w:tplc="F5BAA7DC">
      <w:start w:val="1"/>
      <w:numFmt w:val="decimal"/>
      <w:lvlText w:val="%1."/>
      <w:lvlJc w:val="left"/>
      <w:pPr>
        <w:ind w:left="720" w:hanging="360"/>
      </w:pPr>
      <w:rPr>
        <w:rFonts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467EF"/>
    <w:multiLevelType w:val="multilevel"/>
    <w:tmpl w:val="2836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0"/>
  </w:num>
  <w:num w:numId="5">
    <w:abstractNumId w:val="2"/>
  </w:num>
  <w:num w:numId="6">
    <w:abstractNumId w:val="10"/>
  </w:num>
  <w:num w:numId="7">
    <w:abstractNumId w:val="4"/>
  </w:num>
  <w:num w:numId="8">
    <w:abstractNumId w:val="9"/>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C0"/>
    <w:rsid w:val="00027552"/>
    <w:rsid w:val="00071688"/>
    <w:rsid w:val="000B3358"/>
    <w:rsid w:val="00125B7B"/>
    <w:rsid w:val="00144BCB"/>
    <w:rsid w:val="001956DE"/>
    <w:rsid w:val="001D5C21"/>
    <w:rsid w:val="00240191"/>
    <w:rsid w:val="003D13C6"/>
    <w:rsid w:val="003E0241"/>
    <w:rsid w:val="00406DCA"/>
    <w:rsid w:val="004E507B"/>
    <w:rsid w:val="004F54D3"/>
    <w:rsid w:val="00563205"/>
    <w:rsid w:val="005B35AB"/>
    <w:rsid w:val="00650230"/>
    <w:rsid w:val="00696E3D"/>
    <w:rsid w:val="00756127"/>
    <w:rsid w:val="007A22E1"/>
    <w:rsid w:val="007D3D9D"/>
    <w:rsid w:val="007F6FBC"/>
    <w:rsid w:val="008D7E83"/>
    <w:rsid w:val="008E3588"/>
    <w:rsid w:val="00953E30"/>
    <w:rsid w:val="00981F70"/>
    <w:rsid w:val="009D2279"/>
    <w:rsid w:val="009E2EA6"/>
    <w:rsid w:val="00A10572"/>
    <w:rsid w:val="00A30F48"/>
    <w:rsid w:val="00A87952"/>
    <w:rsid w:val="00AE0161"/>
    <w:rsid w:val="00AE1206"/>
    <w:rsid w:val="00AF1005"/>
    <w:rsid w:val="00B13D8F"/>
    <w:rsid w:val="00B2199F"/>
    <w:rsid w:val="00B50DAD"/>
    <w:rsid w:val="00B61B4D"/>
    <w:rsid w:val="00B66815"/>
    <w:rsid w:val="00B80C12"/>
    <w:rsid w:val="00B93BDD"/>
    <w:rsid w:val="00B94A36"/>
    <w:rsid w:val="00B94B5E"/>
    <w:rsid w:val="00BC7BC7"/>
    <w:rsid w:val="00BE447C"/>
    <w:rsid w:val="00C11EB7"/>
    <w:rsid w:val="00C34398"/>
    <w:rsid w:val="00C90D29"/>
    <w:rsid w:val="00C94C5B"/>
    <w:rsid w:val="00C9614F"/>
    <w:rsid w:val="00CA3CC0"/>
    <w:rsid w:val="00CF546B"/>
    <w:rsid w:val="00D12A8A"/>
    <w:rsid w:val="00D34053"/>
    <w:rsid w:val="00D4190D"/>
    <w:rsid w:val="00D4226E"/>
    <w:rsid w:val="00D86E44"/>
    <w:rsid w:val="00DB2A46"/>
    <w:rsid w:val="00DC5C0E"/>
    <w:rsid w:val="00E127EA"/>
    <w:rsid w:val="00E458A4"/>
    <w:rsid w:val="00E806BC"/>
    <w:rsid w:val="00E9641A"/>
    <w:rsid w:val="00EB3498"/>
    <w:rsid w:val="00F05D25"/>
    <w:rsid w:val="00F24D9F"/>
    <w:rsid w:val="00F36BFC"/>
    <w:rsid w:val="00F94E5B"/>
    <w:rsid w:val="00FA37D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0D929-B3FA-4492-BC50-D924A05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C0"/>
    <w:rPr>
      <w:rFonts w:ascii="Times New Roman" w:eastAsia="Times New Roman" w:hAnsi="Times New Roman"/>
      <w:sz w:val="24"/>
      <w:szCs w:val="24"/>
      <w:lang w:val="hr-HR" w:eastAsia="hr-HR"/>
    </w:rPr>
  </w:style>
  <w:style w:type="paragraph" w:styleId="Heading1">
    <w:name w:val="heading 1"/>
    <w:basedOn w:val="Normal"/>
    <w:next w:val="Normal"/>
    <w:link w:val="Heading1Char"/>
    <w:qFormat/>
    <w:rsid w:val="00CA3CC0"/>
    <w:pPr>
      <w:keepNext/>
      <w:jc w:val="both"/>
      <w:outlineLvl w:val="0"/>
    </w:pPr>
    <w:rPr>
      <w:rFonts w:ascii="4D Gothic" w:hAnsi="4D Gothic"/>
      <w:sz w:val="32"/>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CC0"/>
    <w:rPr>
      <w:rFonts w:ascii="4D Gothic" w:eastAsia="Times New Roman" w:hAnsi="4D Gothic" w:cs="Times New Roman"/>
      <w:sz w:val="32"/>
      <w:szCs w:val="20"/>
      <w:lang w:val="en-US"/>
    </w:rPr>
  </w:style>
  <w:style w:type="paragraph" w:styleId="BodyText">
    <w:name w:val="Body Text"/>
    <w:aliases w:val="  uvlaka 2, uvlaka 3,uvlaka 2,uvlaka 3"/>
    <w:basedOn w:val="Normal"/>
    <w:link w:val="BodyTextChar"/>
    <w:rsid w:val="00CA3CC0"/>
    <w:pPr>
      <w:jc w:val="both"/>
    </w:pPr>
    <w:rPr>
      <w:rFonts w:ascii="4D Gothic" w:hAnsi="4D Gothic"/>
      <w:szCs w:val="20"/>
      <w:lang w:val="en-US" w:eastAsia="x-none"/>
    </w:rPr>
  </w:style>
  <w:style w:type="character" w:customStyle="1" w:styleId="BodyTextChar">
    <w:name w:val="Body Text Char"/>
    <w:aliases w:val="  uvlaka 2 Char, uvlaka 3 Char,uvlaka 2 Char,uvlaka 3 Char"/>
    <w:link w:val="BodyText"/>
    <w:rsid w:val="00CA3CC0"/>
    <w:rPr>
      <w:rFonts w:ascii="4D Gothic" w:eastAsia="Times New Roman" w:hAnsi="4D Gothic" w:cs="Times New Roman"/>
      <w:sz w:val="24"/>
      <w:szCs w:val="20"/>
      <w:lang w:val="en-US"/>
    </w:rPr>
  </w:style>
  <w:style w:type="character" w:customStyle="1" w:styleId="apple-converted-space">
    <w:name w:val="apple-converted-space"/>
    <w:basedOn w:val="DefaultParagraphFont"/>
    <w:rsid w:val="00981F70"/>
  </w:style>
  <w:style w:type="character" w:styleId="Emphasis">
    <w:name w:val="Emphasis"/>
    <w:uiPriority w:val="20"/>
    <w:qFormat/>
    <w:rsid w:val="00981F70"/>
    <w:rPr>
      <w:i/>
      <w:iCs/>
    </w:rPr>
  </w:style>
  <w:style w:type="paragraph" w:styleId="BalloonText">
    <w:name w:val="Balloon Text"/>
    <w:basedOn w:val="Normal"/>
    <w:link w:val="BalloonTextChar"/>
    <w:uiPriority w:val="99"/>
    <w:semiHidden/>
    <w:unhideWhenUsed/>
    <w:rsid w:val="00B50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AD"/>
    <w:rPr>
      <w:rFonts w:ascii="Segoe UI" w:eastAsia="Times New Roman" w:hAnsi="Segoe UI" w:cs="Segoe UI"/>
      <w:sz w:val="18"/>
      <w:szCs w:val="18"/>
      <w:lang w:val="hr-HR" w:eastAsia="hr-HR"/>
    </w:rPr>
  </w:style>
  <w:style w:type="paragraph" w:styleId="ListParagraph">
    <w:name w:val="List Paragraph"/>
    <w:basedOn w:val="Normal"/>
    <w:uiPriority w:val="34"/>
    <w:qFormat/>
    <w:rsid w:val="00D1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823220">
      <w:bodyDiv w:val="1"/>
      <w:marLeft w:val="0"/>
      <w:marRight w:val="0"/>
      <w:marTop w:val="0"/>
      <w:marBottom w:val="0"/>
      <w:divBdr>
        <w:top w:val="none" w:sz="0" w:space="0" w:color="auto"/>
        <w:left w:val="none" w:sz="0" w:space="0" w:color="auto"/>
        <w:bottom w:val="none" w:sz="0" w:space="0" w:color="auto"/>
        <w:right w:val="none" w:sz="0" w:space="0" w:color="auto"/>
      </w:divBdr>
    </w:div>
    <w:div w:id="1424719371">
      <w:bodyDiv w:val="1"/>
      <w:marLeft w:val="0"/>
      <w:marRight w:val="0"/>
      <w:marTop w:val="0"/>
      <w:marBottom w:val="0"/>
      <w:divBdr>
        <w:top w:val="none" w:sz="0" w:space="0" w:color="auto"/>
        <w:left w:val="none" w:sz="0" w:space="0" w:color="auto"/>
        <w:bottom w:val="none" w:sz="0" w:space="0" w:color="auto"/>
        <w:right w:val="none" w:sz="0" w:space="0" w:color="auto"/>
      </w:divBdr>
    </w:div>
    <w:div w:id="18638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FPM</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cp:lastModifiedBy>Irma</cp:lastModifiedBy>
  <cp:revision>2</cp:revision>
  <cp:lastPrinted>2019-02-04T12:17:00Z</cp:lastPrinted>
  <dcterms:created xsi:type="dcterms:W3CDTF">2019-02-23T13:04:00Z</dcterms:created>
  <dcterms:modified xsi:type="dcterms:W3CDTF">2019-02-23T13:04:00Z</dcterms:modified>
</cp:coreProperties>
</file>