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1" w:rsidRDefault="00EE2DA1" w:rsidP="00007A0C">
      <w:pPr>
        <w:rPr>
          <w:spacing w:val="-3"/>
          <w:sz w:val="20"/>
          <w:szCs w:val="18"/>
        </w:rPr>
      </w:pPr>
      <w:bookmarkStart w:id="0" w:name="_GoBack"/>
      <w:bookmarkEnd w:id="0"/>
    </w:p>
    <w:p w:rsidR="00E158A7" w:rsidRDefault="00E158A7" w:rsidP="00007A0C">
      <w:pPr>
        <w:rPr>
          <w:spacing w:val="-3"/>
          <w:sz w:val="20"/>
          <w:szCs w:val="18"/>
        </w:rPr>
      </w:pPr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484"/>
        <w:gridCol w:w="1277"/>
        <w:gridCol w:w="1275"/>
        <w:gridCol w:w="1938"/>
      </w:tblGrid>
      <w:tr w:rsidR="0027558B" w:rsidRPr="004D200B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D200B" w:rsidRPr="00C82ECA" w:rsidRDefault="008F095B" w:rsidP="004D200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</w:rPr>
              <w:t>DZEMAL BIJEDIC UNIVERSITY OF MOSTAR</w:t>
            </w:r>
          </w:p>
          <w:p w:rsidR="0027558B" w:rsidRPr="004D200B" w:rsidRDefault="0002227B" w:rsidP="00640F84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 xml:space="preserve">FACULTY OF </w:t>
            </w:r>
            <w:r w:rsidR="00640F84"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>ECONOMICS</w:t>
            </w:r>
          </w:p>
        </w:tc>
      </w:tr>
      <w:tr w:rsidR="00415CD5" w:rsidRPr="004D200B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keepNext/>
              <w:outlineLvl w:val="0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FD0E17">
              <w:rPr>
                <w:rFonts w:cstheme="minorHAnsi"/>
                <w:b/>
                <w:bCs/>
                <w:sz w:val="20"/>
                <w:szCs w:val="20"/>
                <w:lang w:val="pl-PL"/>
              </w:rPr>
              <w:t>ENGLISH LANGUAGE</w:t>
            </w: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>-BUSINESS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415CD5" w:rsidRPr="00FD0E17" w:rsidRDefault="00415CD5" w:rsidP="00415CD5">
            <w:pPr>
              <w:keepNext/>
              <w:jc w:val="center"/>
              <w:outlineLvl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Course Code: AB307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Studies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4D200B" w:rsidRPr="00C82ECA" w:rsidRDefault="008F095B" w:rsidP="009E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studies </w:t>
            </w:r>
          </w:p>
        </w:tc>
        <w:tc>
          <w:tcPr>
            <w:tcW w:w="3213" w:type="dxa"/>
            <w:gridSpan w:val="2"/>
            <w:vAlign w:val="center"/>
          </w:tcPr>
          <w:p w:rsidR="004D200B" w:rsidRPr="00C82ECA" w:rsidRDefault="008F095B" w:rsidP="00415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4246B4">
              <w:rPr>
                <w:sz w:val="20"/>
                <w:szCs w:val="20"/>
              </w:rPr>
              <w:t>I</w:t>
            </w:r>
            <w:r w:rsidR="00415CD5">
              <w:rPr>
                <w:sz w:val="20"/>
                <w:szCs w:val="20"/>
              </w:rPr>
              <w:t>II</w:t>
            </w:r>
            <w:r w:rsidR="004D200B" w:rsidRPr="00C82EC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semester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415CD5">
              <w:rPr>
                <w:sz w:val="20"/>
                <w:szCs w:val="20"/>
              </w:rPr>
              <w:t>VI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pacing w:val="-3"/>
                <w:sz w:val="20"/>
                <w:szCs w:val="20"/>
                <w:lang w:val="en-GB"/>
              </w:rPr>
              <w:t>Assistant Professor Aida Džiho-Šator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5F60BF">
            <w:pPr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Pr="00FD0E17">
                <w:rPr>
                  <w:rFonts w:cstheme="minorHAnsi"/>
                  <w:color w:val="0000FF"/>
                  <w:spacing w:val="-3"/>
                  <w:sz w:val="20"/>
                  <w:szCs w:val="20"/>
                  <w:u w:val="single"/>
                  <w:lang w:val="en-GB"/>
                </w:rPr>
                <w:t>a</w:t>
              </w:r>
              <w:r w:rsidRPr="00FD0E17">
                <w:rPr>
                  <w:rFonts w:cstheme="minorHAnsi"/>
                  <w:color w:val="0000FF"/>
                  <w:sz w:val="20"/>
                  <w:szCs w:val="20"/>
                  <w:u w:val="single"/>
                  <w:lang w:val="en-GB"/>
                </w:rPr>
                <w:t>ida.dziho@unmo.ba</w:t>
              </w:r>
            </w:hyperlink>
            <w:r w:rsidRPr="00FD0E17">
              <w:rPr>
                <w:rFonts w:cstheme="minorHAnsi"/>
                <w:spacing w:val="-3"/>
                <w:sz w:val="20"/>
                <w:szCs w:val="20"/>
                <w:lang w:val="en-GB"/>
              </w:rPr>
              <w:t xml:space="preserve">                                   </w:t>
            </w:r>
          </w:p>
        </w:tc>
      </w:tr>
      <w:tr w:rsidR="005F60BF" w:rsidRPr="004D200B" w:rsidTr="00AC29C5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F60BF" w:rsidRPr="004D200B" w:rsidRDefault="005F60BF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teaching hours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4" w:type="dxa"/>
            <w:tcBorders>
              <w:left w:val="double" w:sz="4" w:space="0" w:color="auto"/>
            </w:tcBorders>
          </w:tcPr>
          <w:p w:rsidR="005F60BF" w:rsidRPr="00C82ECA" w:rsidRDefault="005F60BF" w:rsidP="00C60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 (weekly hours)</w:t>
            </w:r>
            <w:r w:rsidRPr="00C82E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</w:t>
            </w:r>
          </w:p>
          <w:p w:rsidR="005F60BF" w:rsidRPr="00C82ECA" w:rsidRDefault="005F60BF" w:rsidP="00C60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5F60BF" w:rsidRPr="00C82ECA" w:rsidRDefault="005F60BF" w:rsidP="005F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Exercises (weekly hours)</w:t>
            </w:r>
            <w:r w:rsidRPr="00C82E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5F60BF" w:rsidRPr="00C82ECA" w:rsidRDefault="005F60BF" w:rsidP="005F6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number of hours: </w:t>
            </w:r>
            <w:r>
              <w:rPr>
                <w:sz w:val="20"/>
                <w:szCs w:val="20"/>
              </w:rPr>
              <w:t>60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  <w:r w:rsidR="004C40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15CD5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200B" w:rsidRPr="00C82ECA">
              <w:rPr>
                <w:sz w:val="20"/>
                <w:szCs w:val="20"/>
              </w:rPr>
              <w:t xml:space="preserve"> ECTS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0C753C">
              <w:rPr>
                <w:sz w:val="20"/>
                <w:szCs w:val="20"/>
              </w:rPr>
              <w:t xml:space="preserve">of </w:t>
            </w:r>
            <w:r w:rsidR="00E13ACF">
              <w:rPr>
                <w:sz w:val="20"/>
                <w:szCs w:val="20"/>
              </w:rPr>
              <w:t>Economics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status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Required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Preconditions for the subject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z w:val="20"/>
                <w:szCs w:val="20"/>
                <w:lang w:val="en-GB"/>
              </w:rPr>
              <w:t>None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 for the assigned ECTS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ECTS points corresponds to the number of hours necessary for teaching hours and exam preparation. 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of the subject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0C09F3" w:rsidRDefault="00415CD5" w:rsidP="00415C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212121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To enable student to study from the textbooks written in English</w:t>
            </w:r>
            <w:r w:rsidRPr="000C09F3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and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teach themspecific vocabulary related to</w:t>
            </w:r>
            <w:r w:rsidRPr="000C09F3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key economic terms and concepts that have emerged in the English-speaking field.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The emphasis</w:t>
            </w:r>
            <w:r w:rsidRPr="000C09F3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is on the understanding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and usage </w:t>
            </w:r>
            <w:r w:rsidRPr="000C09F3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of English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language within the context of </w:t>
            </w:r>
            <w:r w:rsidRPr="000C09F3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global trends in economics, business, and basic concepts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in</w:t>
            </w:r>
            <w:r w:rsidRPr="000C09F3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all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fields encompassed in their curriculum. </w:t>
            </w:r>
          </w:p>
          <w:p w:rsidR="00415CD5" w:rsidRPr="00FD0E17" w:rsidRDefault="00415CD5" w:rsidP="00415CD5">
            <w:pPr>
              <w:spacing w:after="100" w:afterAutospacing="1"/>
              <w:jc w:val="both"/>
              <w:rPr>
                <w:rFonts w:cstheme="minorHAnsi"/>
                <w:sz w:val="20"/>
                <w:szCs w:val="20"/>
                <w:lang w:val="bs-Latn-BA"/>
              </w:rPr>
            </w:pP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1" w:name="_Hlk177945"/>
            <w:r>
              <w:rPr>
                <w:b/>
                <w:sz w:val="20"/>
                <w:szCs w:val="20"/>
              </w:rPr>
              <w:t xml:space="preserve">Generic and specific competencies (knowledge and skills) / learning outcomes: </w:t>
            </w:r>
            <w:bookmarkEnd w:id="1"/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Upon successful completion of this couse students will be able to:</w:t>
            </w:r>
          </w:p>
          <w:p w:rsidR="00415CD5" w:rsidRPr="00FD0E17" w:rsidRDefault="00415CD5" w:rsidP="00415CD5">
            <w:pPr>
              <w:spacing w:line="11" w:lineRule="exact"/>
              <w:rPr>
                <w:rFonts w:cstheme="minorHAnsi"/>
                <w:sz w:val="20"/>
                <w:szCs w:val="20"/>
                <w:lang w:val="bs-Latn-BA" w:eastAsia="bs-Latn-BA"/>
              </w:rPr>
            </w:pPr>
          </w:p>
          <w:p w:rsidR="00415CD5" w:rsidRPr="00FB0728" w:rsidRDefault="00415CD5" w:rsidP="00415C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212121"/>
                <w:sz w:val="20"/>
                <w:szCs w:val="20"/>
                <w:lang w:eastAsia="bs-Latn-BA"/>
              </w:rPr>
            </w:pP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- </w:t>
            </w:r>
            <w:r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be </w:t>
            </w: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able to understand English at B1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levelusing vocabulary related to</w:t>
            </w: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economic fields </w:t>
            </w:r>
          </w:p>
          <w:p w:rsidR="00415CD5" w:rsidRPr="00FB0728" w:rsidRDefault="00415CD5" w:rsidP="00415C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212121"/>
                <w:sz w:val="20"/>
                <w:szCs w:val="20"/>
                <w:lang w:eastAsia="bs-Latn-BA"/>
              </w:rPr>
            </w:pP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- be able to communicate in English in writing, in accordance with the forms of business correspondence</w:t>
            </w:r>
          </w:p>
          <w:p w:rsidR="00415CD5" w:rsidRPr="00FB0728" w:rsidRDefault="00415CD5" w:rsidP="00415C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212121"/>
                <w:sz w:val="20"/>
                <w:szCs w:val="20"/>
                <w:lang w:eastAsia="bs-Latn-BA"/>
              </w:rPr>
            </w:pP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-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be able to</w:t>
            </w: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maintain conversation at B1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 level</w:t>
            </w:r>
          </w:p>
          <w:p w:rsidR="00415CD5" w:rsidRPr="00FD0E17" w:rsidRDefault="00415CD5" w:rsidP="00415C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  <w:lang w:val="en-GB"/>
              </w:rPr>
            </w:pP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- </w:t>
            </w:r>
            <w:r w:rsidRPr="00FD0E17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 xml:space="preserve">be </w:t>
            </w:r>
            <w:r w:rsidRPr="00FB0728">
              <w:rPr>
                <w:rFonts w:cstheme="minorHAnsi"/>
                <w:color w:val="212121"/>
                <w:sz w:val="20"/>
                <w:szCs w:val="20"/>
                <w:lang w:eastAsia="bs-Latn-BA"/>
              </w:rPr>
              <w:t>able to use individually English-language materials in these areas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Subject's content</w:t>
            </w:r>
            <w:r w:rsidRPr="004D200B">
              <w:rPr>
                <w:b/>
                <w:sz w:val="20"/>
                <w:szCs w:val="20"/>
              </w:rPr>
              <w:t>:</w:t>
            </w:r>
          </w:p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 xml:space="preserve">1. Presenting yourself in English—speaking 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2. Presentation of your company or business in English—speaking skills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3. Writing CV in English--writing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4. Overview of economic branches and trends – reading comprehension and speaking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5. Accounting -  reading comprehension and speaking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6. Decision making in business -  reading comprehension and speaking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7. Global business - work on the text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8. Mid term exam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9. Management - work on the text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10. Marketing - work on the text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11. Banking - work on the text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12. Ads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13. Internet business</w:t>
            </w:r>
          </w:p>
          <w:p w:rsidR="00415CD5" w:rsidRPr="00FD0E17" w:rsidRDefault="00415CD5" w:rsidP="00415CD5">
            <w:pPr>
              <w:spacing w:line="0" w:lineRule="atLeast"/>
              <w:rPr>
                <w:rFonts w:cstheme="minorHAnsi"/>
                <w:sz w:val="20"/>
                <w:szCs w:val="20"/>
                <w:lang w:val="bs-Latn-BA" w:eastAsia="bs-Latn-BA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14. IT terms for economists</w:t>
            </w:r>
          </w:p>
          <w:p w:rsidR="00415CD5" w:rsidRPr="00FD0E17" w:rsidRDefault="00415CD5" w:rsidP="00415CD5">
            <w:pPr>
              <w:contextualSpacing/>
              <w:rPr>
                <w:rFonts w:cstheme="minorHAnsi"/>
                <w:spacing w:val="-3"/>
                <w:sz w:val="20"/>
                <w:szCs w:val="20"/>
              </w:rPr>
            </w:pPr>
            <w:r w:rsidRPr="00FD0E17">
              <w:rPr>
                <w:rFonts w:cstheme="minorHAnsi"/>
                <w:sz w:val="20"/>
                <w:szCs w:val="20"/>
                <w:lang w:val="bs-Latn-BA" w:eastAsia="bs-Latn-BA"/>
              </w:rPr>
              <w:t>15. Written forms of correspondence in English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bookmarkStart w:id="2" w:name="_Hlk177900"/>
            <w:r>
              <w:rPr>
                <w:b/>
                <w:sz w:val="20"/>
                <w:szCs w:val="20"/>
              </w:rPr>
              <w:t>Teaching methods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spacing w:after="100" w:afterAutospacing="1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z w:val="20"/>
                <w:szCs w:val="20"/>
                <w:lang w:val="en-GB"/>
              </w:rPr>
              <w:t>Lectures, discussions, work in pairs, group work</w:t>
            </w:r>
          </w:p>
        </w:tc>
      </w:tr>
      <w:bookmarkEnd w:id="2"/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requirements for the students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4D200B" w:rsidRDefault="00415CD5" w:rsidP="00415CD5">
            <w:pPr>
              <w:rPr>
                <w:spacing w:val="-3"/>
                <w:sz w:val="20"/>
                <w:szCs w:val="20"/>
              </w:rPr>
            </w:pP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 of final grade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jc w:val="both"/>
              <w:rPr>
                <w:rFonts w:cstheme="minorHAnsi"/>
                <w:spacing w:val="-3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z w:val="20"/>
                <w:szCs w:val="20"/>
                <w:lang w:val="en-GB"/>
              </w:rPr>
              <w:t>Mid-term test 25%; Final exam 60%; homework 10% Attendance and in-class activity 5%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FD0E17" w:rsidRDefault="00415CD5" w:rsidP="00415CD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z w:val="20"/>
                <w:szCs w:val="20"/>
                <w:lang w:val="en-GB"/>
              </w:rPr>
              <w:t>1. Texts prepared by the teacher</w:t>
            </w:r>
          </w:p>
          <w:p w:rsidR="00415CD5" w:rsidRPr="00FD0E17" w:rsidRDefault="00415CD5" w:rsidP="00415CD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z w:val="20"/>
                <w:szCs w:val="20"/>
                <w:lang w:val="en-GB"/>
              </w:rPr>
              <w:t>2. Thomson, A.J., Martinet, A.V., A Practical English Grammar, Oxford University Press,1986.</w:t>
            </w:r>
          </w:p>
          <w:p w:rsidR="00415CD5" w:rsidRPr="00FD0E17" w:rsidRDefault="00415CD5" w:rsidP="00415CD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z w:val="20"/>
                <w:szCs w:val="20"/>
                <w:lang w:val="en-GB"/>
              </w:rPr>
              <w:t xml:space="preserve">3. Tanović, Mustafa, EngleskaGramatika, Fakultethumanističkihnauka, </w:t>
            </w:r>
          </w:p>
          <w:p w:rsidR="00415CD5" w:rsidRPr="00FD0E17" w:rsidRDefault="00415CD5" w:rsidP="00415CD5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FD0E17">
              <w:rPr>
                <w:rFonts w:cstheme="minorHAnsi"/>
                <w:sz w:val="20"/>
                <w:szCs w:val="20"/>
                <w:lang w:val="en-GB"/>
              </w:rPr>
              <w:t xml:space="preserve">4. </w:t>
            </w:r>
            <w:r w:rsidRPr="00FD0E17">
              <w:rPr>
                <w:rFonts w:cstheme="minorHAnsi"/>
                <w:spacing w:val="-3"/>
                <w:sz w:val="20"/>
                <w:szCs w:val="20"/>
              </w:rPr>
              <w:t xml:space="preserve"> A Dictionary of Globalization,  Jens Uwe Wunderlich and Meera Warrier, Routledge, London and New York, 2010.</w:t>
            </w:r>
          </w:p>
        </w:tc>
      </w:tr>
      <w:tr w:rsidR="00415CD5" w:rsidRPr="004D200B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15CD5" w:rsidRPr="004D200B" w:rsidRDefault="00415CD5" w:rsidP="00415CD5">
            <w:pPr>
              <w:jc w:val="center"/>
              <w:rPr>
                <w:b/>
                <w:sz w:val="20"/>
                <w:szCs w:val="20"/>
              </w:rPr>
            </w:pPr>
            <w:r w:rsidRPr="00566FC7">
              <w:rPr>
                <w:b/>
                <w:sz w:val="20"/>
                <w:szCs w:val="20"/>
              </w:rPr>
              <w:t>Quality control of successfulness of teaching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15CD5" w:rsidRPr="004D200B" w:rsidRDefault="00415CD5" w:rsidP="00415CD5">
            <w:pPr>
              <w:jc w:val="center"/>
              <w:rPr>
                <w:sz w:val="20"/>
                <w:szCs w:val="20"/>
              </w:rPr>
            </w:pPr>
            <w:r w:rsidRPr="00566FC7">
              <w:rPr>
                <w:sz w:val="20"/>
                <w:szCs w:val="20"/>
              </w:rPr>
              <w:t>Anonymous survey among students about quality of teaching</w:t>
            </w:r>
          </w:p>
        </w:tc>
      </w:tr>
    </w:tbl>
    <w:p w:rsidR="00D90A04" w:rsidRDefault="00D90A04" w:rsidP="00556DCD">
      <w:pPr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7963E0" w:rsidRDefault="007963E0" w:rsidP="00ED4E28"/>
    <w:sectPr w:rsidR="007963E0" w:rsidSect="004D200B">
      <w:footerReference w:type="even" r:id="rId8"/>
      <w:footerReference w:type="default" r:id="rId9"/>
      <w:pgSz w:w="11907" w:h="16840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CF" w:rsidRDefault="00AE23CF">
      <w:r>
        <w:separator/>
      </w:r>
    </w:p>
  </w:endnote>
  <w:endnote w:type="continuationSeparator" w:id="1">
    <w:p w:rsidR="00AE23CF" w:rsidRDefault="00AE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0505C1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0505C1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8A7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CF" w:rsidRDefault="00AE23CF">
      <w:r>
        <w:separator/>
      </w:r>
    </w:p>
  </w:footnote>
  <w:footnote w:type="continuationSeparator" w:id="1">
    <w:p w:rsidR="00AE23CF" w:rsidRDefault="00AE2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4" type="#_x0000_t75" style="width:11.25pt;height:11.25pt" o:bullet="t">
        <v:imagedata r:id="rId1" o:title="mso602"/>
      </v:shape>
    </w:pict>
  </w:numPicBullet>
  <w:numPicBullet w:numPicBulletId="1">
    <w:pict>
      <v:shape id="_x0000_i1745" type="#_x0000_t75" style="width:3in;height:3in" o:bullet="t"/>
    </w:pict>
  </w:numPicBullet>
  <w:numPicBullet w:numPicBulletId="2">
    <w:pict>
      <v:shape id="_x0000_i1746" type="#_x0000_t75" style="width:3in;height:3in" o:bullet="t"/>
    </w:pict>
  </w:numPicBullet>
  <w:numPicBullet w:numPicBulletId="3">
    <w:pict>
      <v:shape id="_x0000_i1747" type="#_x0000_t75" style="width:3in;height:3in" o:bullet="t"/>
    </w:pict>
  </w:numPicBullet>
  <w:numPicBullet w:numPicBulletId="4">
    <w:pict>
      <v:shape id="_x0000_i1748" type="#_x0000_t75" style="width:3in;height:3in" o:bullet="t"/>
    </w:pict>
  </w:numPicBullet>
  <w:numPicBullet w:numPicBulletId="5">
    <w:pict>
      <v:shape id="_x0000_i1749" type="#_x0000_t75" style="width:3in;height:3in" o:bullet="t"/>
    </w:pict>
  </w:numPicBullet>
  <w:numPicBullet w:numPicBulletId="6">
    <w:pict>
      <v:shape id="_x0000_i1750" type="#_x0000_t75" style="width:3in;height:3in" o:bullet="t"/>
    </w:pict>
  </w:numPicBullet>
  <w:abstractNum w:abstractNumId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D1AC8"/>
    <w:multiLevelType w:val="hybridMultilevel"/>
    <w:tmpl w:val="F732FC8C"/>
    <w:lvl w:ilvl="0" w:tplc="011C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4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71"/>
    <w:rsid w:val="000011C3"/>
    <w:rsid w:val="000041C7"/>
    <w:rsid w:val="00007A0C"/>
    <w:rsid w:val="0002227B"/>
    <w:rsid w:val="000304C0"/>
    <w:rsid w:val="00035039"/>
    <w:rsid w:val="000432A6"/>
    <w:rsid w:val="000505C1"/>
    <w:rsid w:val="000533F7"/>
    <w:rsid w:val="000551EA"/>
    <w:rsid w:val="0008096C"/>
    <w:rsid w:val="00087A4B"/>
    <w:rsid w:val="000A5834"/>
    <w:rsid w:val="000C1E62"/>
    <w:rsid w:val="000C753C"/>
    <w:rsid w:val="000D5BF7"/>
    <w:rsid w:val="000E6FFC"/>
    <w:rsid w:val="000F34E9"/>
    <w:rsid w:val="00105990"/>
    <w:rsid w:val="00117D19"/>
    <w:rsid w:val="001429DF"/>
    <w:rsid w:val="001541F7"/>
    <w:rsid w:val="0016090A"/>
    <w:rsid w:val="00190E09"/>
    <w:rsid w:val="001B0992"/>
    <w:rsid w:val="001B159F"/>
    <w:rsid w:val="001B51F3"/>
    <w:rsid w:val="001C5979"/>
    <w:rsid w:val="001D1505"/>
    <w:rsid w:val="001D5CC2"/>
    <w:rsid w:val="001D7868"/>
    <w:rsid w:val="001E2F78"/>
    <w:rsid w:val="001F14B2"/>
    <w:rsid w:val="001F2059"/>
    <w:rsid w:val="00217176"/>
    <w:rsid w:val="00253FCA"/>
    <w:rsid w:val="0027558B"/>
    <w:rsid w:val="00276511"/>
    <w:rsid w:val="002B5191"/>
    <w:rsid w:val="002C2750"/>
    <w:rsid w:val="002D0BC3"/>
    <w:rsid w:val="002F2B72"/>
    <w:rsid w:val="002F5CDF"/>
    <w:rsid w:val="00301411"/>
    <w:rsid w:val="00327C03"/>
    <w:rsid w:val="00353DDD"/>
    <w:rsid w:val="003B66A8"/>
    <w:rsid w:val="003C6602"/>
    <w:rsid w:val="003D26CE"/>
    <w:rsid w:val="00415CD5"/>
    <w:rsid w:val="0042337D"/>
    <w:rsid w:val="004246B4"/>
    <w:rsid w:val="00456A75"/>
    <w:rsid w:val="00494CE2"/>
    <w:rsid w:val="004A6119"/>
    <w:rsid w:val="004A69AB"/>
    <w:rsid w:val="004B2535"/>
    <w:rsid w:val="004C40DF"/>
    <w:rsid w:val="004C67F5"/>
    <w:rsid w:val="004D200B"/>
    <w:rsid w:val="004D278D"/>
    <w:rsid w:val="004D5E77"/>
    <w:rsid w:val="004E4127"/>
    <w:rsid w:val="005032E8"/>
    <w:rsid w:val="00511904"/>
    <w:rsid w:val="00523F55"/>
    <w:rsid w:val="00525AF3"/>
    <w:rsid w:val="005362CC"/>
    <w:rsid w:val="00556DCD"/>
    <w:rsid w:val="00565633"/>
    <w:rsid w:val="00566FC7"/>
    <w:rsid w:val="00570CDE"/>
    <w:rsid w:val="005822E5"/>
    <w:rsid w:val="005C0FEE"/>
    <w:rsid w:val="005C7331"/>
    <w:rsid w:val="005E54A6"/>
    <w:rsid w:val="005F2C7B"/>
    <w:rsid w:val="005F60BF"/>
    <w:rsid w:val="006014C3"/>
    <w:rsid w:val="006203CF"/>
    <w:rsid w:val="00623031"/>
    <w:rsid w:val="00640F84"/>
    <w:rsid w:val="0065052B"/>
    <w:rsid w:val="00650D91"/>
    <w:rsid w:val="006652CF"/>
    <w:rsid w:val="00675CC3"/>
    <w:rsid w:val="006C7BFE"/>
    <w:rsid w:val="006D3AAA"/>
    <w:rsid w:val="006E0AC6"/>
    <w:rsid w:val="006E0CE6"/>
    <w:rsid w:val="006E0F55"/>
    <w:rsid w:val="007009F3"/>
    <w:rsid w:val="00720380"/>
    <w:rsid w:val="00723892"/>
    <w:rsid w:val="007259E4"/>
    <w:rsid w:val="00733617"/>
    <w:rsid w:val="007371A3"/>
    <w:rsid w:val="0075242B"/>
    <w:rsid w:val="00773796"/>
    <w:rsid w:val="007950D4"/>
    <w:rsid w:val="007963E0"/>
    <w:rsid w:val="007C769E"/>
    <w:rsid w:val="007D0883"/>
    <w:rsid w:val="007D4CB5"/>
    <w:rsid w:val="008329D7"/>
    <w:rsid w:val="00833436"/>
    <w:rsid w:val="00834310"/>
    <w:rsid w:val="00836A06"/>
    <w:rsid w:val="00841DD9"/>
    <w:rsid w:val="0085347C"/>
    <w:rsid w:val="008573F6"/>
    <w:rsid w:val="00864759"/>
    <w:rsid w:val="00866BC9"/>
    <w:rsid w:val="00874B12"/>
    <w:rsid w:val="00880CEF"/>
    <w:rsid w:val="008B7A32"/>
    <w:rsid w:val="008C1681"/>
    <w:rsid w:val="008C6CF5"/>
    <w:rsid w:val="008D6AFE"/>
    <w:rsid w:val="008E3331"/>
    <w:rsid w:val="008E4AFC"/>
    <w:rsid w:val="008F095B"/>
    <w:rsid w:val="008F7825"/>
    <w:rsid w:val="0091023D"/>
    <w:rsid w:val="009469AE"/>
    <w:rsid w:val="009671B2"/>
    <w:rsid w:val="009A3A35"/>
    <w:rsid w:val="009D7871"/>
    <w:rsid w:val="009E504A"/>
    <w:rsid w:val="00A00182"/>
    <w:rsid w:val="00A05799"/>
    <w:rsid w:val="00A154BC"/>
    <w:rsid w:val="00A22D59"/>
    <w:rsid w:val="00A34151"/>
    <w:rsid w:val="00A36089"/>
    <w:rsid w:val="00A40AD8"/>
    <w:rsid w:val="00A51E1A"/>
    <w:rsid w:val="00A53C35"/>
    <w:rsid w:val="00A728D4"/>
    <w:rsid w:val="00A84D56"/>
    <w:rsid w:val="00A95F6E"/>
    <w:rsid w:val="00AA1385"/>
    <w:rsid w:val="00AB1AE3"/>
    <w:rsid w:val="00AB4219"/>
    <w:rsid w:val="00AB6FEE"/>
    <w:rsid w:val="00AC3565"/>
    <w:rsid w:val="00AD08A2"/>
    <w:rsid w:val="00AD14A2"/>
    <w:rsid w:val="00AE23CF"/>
    <w:rsid w:val="00AF595C"/>
    <w:rsid w:val="00B022E6"/>
    <w:rsid w:val="00B02DB9"/>
    <w:rsid w:val="00B46D75"/>
    <w:rsid w:val="00B6604E"/>
    <w:rsid w:val="00B77051"/>
    <w:rsid w:val="00B923A2"/>
    <w:rsid w:val="00BA34BE"/>
    <w:rsid w:val="00BA6DE7"/>
    <w:rsid w:val="00BD14CD"/>
    <w:rsid w:val="00BD3F4F"/>
    <w:rsid w:val="00BD6724"/>
    <w:rsid w:val="00BD7821"/>
    <w:rsid w:val="00BE5D5F"/>
    <w:rsid w:val="00BF4160"/>
    <w:rsid w:val="00C075DE"/>
    <w:rsid w:val="00C12432"/>
    <w:rsid w:val="00C35083"/>
    <w:rsid w:val="00C4698B"/>
    <w:rsid w:val="00C55C4D"/>
    <w:rsid w:val="00C55C6F"/>
    <w:rsid w:val="00C57D36"/>
    <w:rsid w:val="00C73D16"/>
    <w:rsid w:val="00C84633"/>
    <w:rsid w:val="00CA068D"/>
    <w:rsid w:val="00CA0D91"/>
    <w:rsid w:val="00CA3D30"/>
    <w:rsid w:val="00CC3951"/>
    <w:rsid w:val="00CE14A2"/>
    <w:rsid w:val="00D11458"/>
    <w:rsid w:val="00D150EA"/>
    <w:rsid w:val="00D164F4"/>
    <w:rsid w:val="00D23009"/>
    <w:rsid w:val="00D2302C"/>
    <w:rsid w:val="00D3042F"/>
    <w:rsid w:val="00D547E2"/>
    <w:rsid w:val="00D71161"/>
    <w:rsid w:val="00D80F85"/>
    <w:rsid w:val="00D8195E"/>
    <w:rsid w:val="00D819FF"/>
    <w:rsid w:val="00D90885"/>
    <w:rsid w:val="00D90A04"/>
    <w:rsid w:val="00DA7F78"/>
    <w:rsid w:val="00DC6110"/>
    <w:rsid w:val="00E13ACF"/>
    <w:rsid w:val="00E158A7"/>
    <w:rsid w:val="00E163EC"/>
    <w:rsid w:val="00E4425C"/>
    <w:rsid w:val="00E44559"/>
    <w:rsid w:val="00E54400"/>
    <w:rsid w:val="00E65A9E"/>
    <w:rsid w:val="00E65E36"/>
    <w:rsid w:val="00E77626"/>
    <w:rsid w:val="00E871D3"/>
    <w:rsid w:val="00E90C63"/>
    <w:rsid w:val="00E96163"/>
    <w:rsid w:val="00EA0993"/>
    <w:rsid w:val="00EA1850"/>
    <w:rsid w:val="00EB6537"/>
    <w:rsid w:val="00ED4E28"/>
    <w:rsid w:val="00EE2DA1"/>
    <w:rsid w:val="00F00047"/>
    <w:rsid w:val="00F25E52"/>
    <w:rsid w:val="00F30AD8"/>
    <w:rsid w:val="00F32257"/>
    <w:rsid w:val="00F3602D"/>
    <w:rsid w:val="00F402E5"/>
    <w:rsid w:val="00F46C72"/>
    <w:rsid w:val="00F55A6E"/>
    <w:rsid w:val="00F80341"/>
    <w:rsid w:val="00F80FA3"/>
    <w:rsid w:val="00F94292"/>
    <w:rsid w:val="00F95588"/>
    <w:rsid w:val="00FC49DC"/>
    <w:rsid w:val="00FD6CD9"/>
    <w:rsid w:val="00FE2BCA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9D787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D7871"/>
    <w:rPr>
      <w:i/>
      <w:iCs/>
    </w:rPr>
  </w:style>
  <w:style w:type="character" w:customStyle="1" w:styleId="newstitle1">
    <w:name w:val="news_title1"/>
    <w:basedOn w:val="DefaultParagraphFont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basedOn w:val="DefaultParagraphFont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da.dziho@unm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„DŽEMAL BIJEDIĆ“ U MOSTARU</vt:lpstr>
    </vt:vector>
  </TitlesOfParts>
  <Company>Univerzitet u Sarajevu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user</cp:lastModifiedBy>
  <cp:revision>3</cp:revision>
  <cp:lastPrinted>2011-04-19T10:24:00Z</cp:lastPrinted>
  <dcterms:created xsi:type="dcterms:W3CDTF">2019-03-28T13:42:00Z</dcterms:created>
  <dcterms:modified xsi:type="dcterms:W3CDTF">2019-03-28T13:59:00Z</dcterms:modified>
</cp:coreProperties>
</file>