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2045"/>
      </w:tblGrid>
      <w:tr w:rsidR="00327BC7" w:rsidRPr="009F23EB" w14:paraId="121317A6" w14:textId="77777777" w:rsidTr="004A7095">
        <w:trPr>
          <w:trHeight w:val="524"/>
        </w:trPr>
        <w:tc>
          <w:tcPr>
            <w:tcW w:w="10287" w:type="dxa"/>
            <w:gridSpan w:val="5"/>
            <w:tcBorders>
              <w:top w:val="double" w:sz="4" w:space="0" w:color="auto"/>
              <w:bottom w:val="double" w:sz="4" w:space="0" w:color="auto"/>
            </w:tcBorders>
            <w:shd w:val="clear" w:color="auto" w:fill="CCCCCC"/>
            <w:vAlign w:val="center"/>
          </w:tcPr>
          <w:p w14:paraId="7D54B586" w14:textId="77777777" w:rsidR="00327BC7" w:rsidRPr="0033002E" w:rsidRDefault="00327BC7" w:rsidP="004A7095">
            <w:pPr>
              <w:pStyle w:val="Naslov1"/>
              <w:spacing w:before="0" w:after="0"/>
              <w:jc w:val="center"/>
              <w:rPr>
                <w:rFonts w:ascii="Times New Roman" w:hAnsi="Times New Roman"/>
                <w:b w:val="0"/>
                <w:bCs w:val="0"/>
                <w:spacing w:val="-3"/>
                <w:sz w:val="24"/>
                <w:szCs w:val="24"/>
                <w:lang w:val="en-US"/>
              </w:rPr>
            </w:pPr>
            <w:r>
              <w:rPr>
                <w:rFonts w:ascii="Times New Roman" w:hAnsi="Times New Roman"/>
                <w:b w:val="0"/>
                <w:bCs w:val="0"/>
                <w:spacing w:val="-3"/>
                <w:sz w:val="24"/>
                <w:szCs w:val="24"/>
                <w:lang w:val="en-US"/>
              </w:rPr>
              <w:t>‘’</w:t>
            </w:r>
            <w:r w:rsidRPr="0033002E">
              <w:rPr>
                <w:rFonts w:ascii="Times New Roman" w:hAnsi="Times New Roman"/>
                <w:b w:val="0"/>
                <w:bCs w:val="0"/>
                <w:spacing w:val="-3"/>
                <w:sz w:val="24"/>
                <w:szCs w:val="24"/>
                <w:lang w:val="en-US"/>
              </w:rPr>
              <w:t xml:space="preserve">DZEMAL </w:t>
            </w:r>
            <w:proofErr w:type="gramStart"/>
            <w:r w:rsidRPr="0033002E">
              <w:rPr>
                <w:rFonts w:ascii="Times New Roman" w:hAnsi="Times New Roman"/>
                <w:b w:val="0"/>
                <w:bCs w:val="0"/>
                <w:spacing w:val="-3"/>
                <w:sz w:val="24"/>
                <w:szCs w:val="24"/>
                <w:lang w:val="en-US"/>
              </w:rPr>
              <w:t>BIJEDIC“ UNIVERSITY</w:t>
            </w:r>
            <w:proofErr w:type="gramEnd"/>
            <w:r w:rsidRPr="0033002E">
              <w:rPr>
                <w:rFonts w:ascii="Times New Roman" w:hAnsi="Times New Roman"/>
                <w:b w:val="0"/>
                <w:bCs w:val="0"/>
                <w:spacing w:val="-3"/>
                <w:sz w:val="24"/>
                <w:szCs w:val="24"/>
                <w:lang w:val="en-US"/>
              </w:rPr>
              <w:t xml:space="preserve"> OF MOSTAR</w:t>
            </w:r>
          </w:p>
          <w:p w14:paraId="35C4D5A8" w14:textId="77777777" w:rsidR="00327BC7" w:rsidRDefault="00327BC7" w:rsidP="004A7095">
            <w:pPr>
              <w:pStyle w:val="Naslov1"/>
              <w:spacing w:before="0" w:after="0"/>
              <w:jc w:val="center"/>
              <w:rPr>
                <w:rFonts w:ascii="Times New Roman" w:hAnsi="Times New Roman"/>
                <w:b w:val="0"/>
                <w:bCs w:val="0"/>
                <w:spacing w:val="-3"/>
                <w:sz w:val="22"/>
                <w:szCs w:val="22"/>
                <w:lang w:val="en-US"/>
              </w:rPr>
            </w:pPr>
            <w:r w:rsidRPr="0033002E">
              <w:rPr>
                <w:rFonts w:ascii="Times New Roman" w:hAnsi="Times New Roman"/>
                <w:b w:val="0"/>
                <w:bCs w:val="0"/>
                <w:spacing w:val="-3"/>
                <w:sz w:val="22"/>
                <w:szCs w:val="22"/>
                <w:lang w:val="en-US"/>
              </w:rPr>
              <w:t>FACULTY OF MECHANICAL ENGINEERING</w:t>
            </w:r>
          </w:p>
          <w:p w14:paraId="5B457129" w14:textId="77777777" w:rsidR="00327BC7" w:rsidRPr="009F23EB" w:rsidRDefault="00327BC7" w:rsidP="004A7095">
            <w:pPr>
              <w:jc w:val="center"/>
              <w:rPr>
                <w:b/>
                <w:spacing w:val="-3"/>
                <w:lang w:val="hr-BA"/>
              </w:rPr>
            </w:pPr>
            <w:r>
              <w:rPr>
                <w:lang w:val="en-US"/>
              </w:rPr>
              <w:t>RENEWABLE ENERGY SOURCES</w:t>
            </w:r>
          </w:p>
        </w:tc>
      </w:tr>
      <w:tr w:rsidR="00327BC7" w:rsidRPr="009F23EB" w14:paraId="1EFF565B" w14:textId="77777777" w:rsidTr="004A7095">
        <w:trPr>
          <w:trHeight w:val="524"/>
        </w:trPr>
        <w:tc>
          <w:tcPr>
            <w:tcW w:w="3313" w:type="dxa"/>
            <w:tcBorders>
              <w:top w:val="double" w:sz="4" w:space="0" w:color="auto"/>
              <w:bottom w:val="single" w:sz="4" w:space="0" w:color="auto"/>
              <w:right w:val="double" w:sz="4" w:space="0" w:color="auto"/>
            </w:tcBorders>
            <w:shd w:val="clear" w:color="auto" w:fill="CCCCCC"/>
            <w:vAlign w:val="center"/>
          </w:tcPr>
          <w:p w14:paraId="017F0869" w14:textId="77777777" w:rsidR="00327BC7" w:rsidRPr="009F23EB" w:rsidRDefault="00327BC7" w:rsidP="004A7095">
            <w:pPr>
              <w:jc w:val="center"/>
              <w:rPr>
                <w:b/>
                <w:sz w:val="20"/>
                <w:szCs w:val="20"/>
                <w:lang w:val="hr-BA"/>
              </w:rPr>
            </w:pPr>
            <w:r>
              <w:rPr>
                <w:b/>
                <w:sz w:val="20"/>
                <w:szCs w:val="20"/>
              </w:rPr>
              <w:t>Modul:</w:t>
            </w:r>
          </w:p>
        </w:tc>
        <w:tc>
          <w:tcPr>
            <w:tcW w:w="3761" w:type="dxa"/>
            <w:gridSpan w:val="2"/>
            <w:tcBorders>
              <w:top w:val="double" w:sz="4" w:space="0" w:color="auto"/>
              <w:left w:val="double" w:sz="4" w:space="0" w:color="auto"/>
            </w:tcBorders>
            <w:vAlign w:val="center"/>
          </w:tcPr>
          <w:p w14:paraId="0172541A" w14:textId="77777777" w:rsidR="00327BC7" w:rsidRPr="007B44D8" w:rsidRDefault="00327BC7" w:rsidP="004A7095">
            <w:pPr>
              <w:pStyle w:val="Naslov1"/>
              <w:jc w:val="center"/>
              <w:rPr>
                <w:rFonts w:ascii="Times New Roman" w:hAnsi="Times New Roman"/>
                <w:sz w:val="20"/>
                <w:lang w:val="hr-BA"/>
              </w:rPr>
            </w:pPr>
            <w:r w:rsidRPr="007B44D8">
              <w:rPr>
                <w:rFonts w:ascii="Times New Roman" w:hAnsi="Times New Roman"/>
                <w:sz w:val="20"/>
              </w:rPr>
              <w:t>GEOTHERMAL ENERGY</w:t>
            </w:r>
          </w:p>
        </w:tc>
        <w:tc>
          <w:tcPr>
            <w:tcW w:w="3213" w:type="dxa"/>
            <w:gridSpan w:val="2"/>
            <w:tcBorders>
              <w:top w:val="double" w:sz="4" w:space="0" w:color="auto"/>
            </w:tcBorders>
            <w:vAlign w:val="center"/>
          </w:tcPr>
          <w:p w14:paraId="1A112684" w14:textId="7776B7B2" w:rsidR="00327BC7" w:rsidRPr="009F23EB" w:rsidRDefault="00327BC7" w:rsidP="004A7095">
            <w:pPr>
              <w:pStyle w:val="Naslov1"/>
              <w:jc w:val="center"/>
              <w:rPr>
                <w:rFonts w:ascii="Times New Roman" w:hAnsi="Times New Roman"/>
                <w:b w:val="0"/>
                <w:sz w:val="20"/>
                <w:lang w:val="hr-BA"/>
              </w:rPr>
            </w:pPr>
            <w:r>
              <w:rPr>
                <w:rFonts w:ascii="Times New Roman" w:hAnsi="Times New Roman"/>
                <w:b w:val="0"/>
                <w:sz w:val="20"/>
              </w:rPr>
              <w:t xml:space="preserve">Module </w:t>
            </w:r>
            <w:r w:rsidRPr="0074109E">
              <w:rPr>
                <w:rFonts w:ascii="Times New Roman" w:hAnsi="Times New Roman"/>
                <w:b w:val="0"/>
                <w:sz w:val="20"/>
              </w:rPr>
              <w:t>code</w:t>
            </w:r>
            <w:r w:rsidRPr="009F23EB">
              <w:rPr>
                <w:rFonts w:ascii="Times New Roman" w:hAnsi="Times New Roman"/>
                <w:b w:val="0"/>
                <w:sz w:val="20"/>
                <w:lang w:val="hr-BA"/>
              </w:rPr>
              <w:t>:</w:t>
            </w:r>
            <w:r>
              <w:rPr>
                <w:rFonts w:ascii="Times New Roman" w:hAnsi="Times New Roman"/>
                <w:b w:val="0"/>
                <w:sz w:val="20"/>
                <w:lang w:val="hr-BA"/>
              </w:rPr>
              <w:t xml:space="preserve"> </w:t>
            </w:r>
            <w:r w:rsidR="00066BCC">
              <w:rPr>
                <w:rFonts w:ascii="Times New Roman" w:hAnsi="Times New Roman"/>
                <w:b w:val="0"/>
                <w:sz w:val="20"/>
                <w:lang w:val="hr-BA"/>
              </w:rPr>
              <w:t>xx</w:t>
            </w:r>
          </w:p>
        </w:tc>
      </w:tr>
      <w:tr w:rsidR="00327BC7" w:rsidRPr="009F23EB" w14:paraId="5CE8E457"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44A09552" w14:textId="77777777" w:rsidR="00327BC7" w:rsidRPr="009D1EF7" w:rsidRDefault="00327BC7" w:rsidP="004A7095">
            <w:pPr>
              <w:jc w:val="center"/>
              <w:rPr>
                <w:b/>
                <w:sz w:val="20"/>
                <w:szCs w:val="20"/>
                <w:lang w:val="hr-BA"/>
              </w:rPr>
            </w:pPr>
            <w:r w:rsidRPr="009D1EF7">
              <w:rPr>
                <w:b/>
                <w:sz w:val="20"/>
                <w:szCs w:val="20"/>
              </w:rPr>
              <w:t>The level of cycles, years of study, semester</w:t>
            </w:r>
          </w:p>
        </w:tc>
        <w:tc>
          <w:tcPr>
            <w:tcW w:w="3761" w:type="dxa"/>
            <w:gridSpan w:val="2"/>
            <w:tcBorders>
              <w:left w:val="double" w:sz="4" w:space="0" w:color="auto"/>
            </w:tcBorders>
            <w:vAlign w:val="center"/>
          </w:tcPr>
          <w:p w14:paraId="5F8D4C15" w14:textId="77777777" w:rsidR="00327BC7" w:rsidRPr="009F23EB" w:rsidRDefault="00327BC7" w:rsidP="004A7095">
            <w:pPr>
              <w:jc w:val="center"/>
              <w:rPr>
                <w:sz w:val="20"/>
                <w:szCs w:val="20"/>
                <w:lang w:val="hr-BA"/>
              </w:rPr>
            </w:pPr>
            <w:r w:rsidRPr="0033002E">
              <w:rPr>
                <w:sz w:val="20"/>
                <w:szCs w:val="20"/>
                <w:lang w:val="en-US"/>
              </w:rPr>
              <w:t>II cycles</w:t>
            </w:r>
          </w:p>
        </w:tc>
        <w:tc>
          <w:tcPr>
            <w:tcW w:w="3213" w:type="dxa"/>
            <w:gridSpan w:val="2"/>
            <w:vAlign w:val="center"/>
          </w:tcPr>
          <w:p w14:paraId="4AACA954" w14:textId="487D24F2" w:rsidR="00327BC7" w:rsidRPr="009D3885" w:rsidRDefault="00327BC7" w:rsidP="004A7095">
            <w:pPr>
              <w:jc w:val="center"/>
              <w:rPr>
                <w:sz w:val="20"/>
                <w:szCs w:val="20"/>
                <w:lang w:val="hr-BA"/>
              </w:rPr>
            </w:pPr>
            <w:r w:rsidRPr="009D3885">
              <w:rPr>
                <w:sz w:val="20"/>
                <w:szCs w:val="20"/>
                <w:lang w:val="en-US"/>
              </w:rPr>
              <w:t>Year: I/</w:t>
            </w:r>
            <w:r w:rsidR="009D3885" w:rsidRPr="009D3885">
              <w:rPr>
                <w:sz w:val="20"/>
                <w:szCs w:val="20"/>
                <w:lang w:val="en-US"/>
              </w:rPr>
              <w:t>II</w:t>
            </w:r>
            <w:r w:rsidRPr="009D3885">
              <w:rPr>
                <w:sz w:val="20"/>
                <w:szCs w:val="20"/>
                <w:lang w:val="en-US"/>
              </w:rPr>
              <w:t xml:space="preserve"> semester</w:t>
            </w:r>
          </w:p>
        </w:tc>
      </w:tr>
      <w:tr w:rsidR="00327BC7" w:rsidRPr="009F23EB" w14:paraId="3F082702"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D8CBBDD" w14:textId="77777777" w:rsidR="00327BC7" w:rsidRPr="009F23EB" w:rsidRDefault="00327BC7" w:rsidP="004A7095">
            <w:pPr>
              <w:jc w:val="center"/>
              <w:rPr>
                <w:b/>
                <w:sz w:val="20"/>
                <w:szCs w:val="20"/>
                <w:lang w:val="hr-BA"/>
              </w:rPr>
            </w:pPr>
            <w:r>
              <w:rPr>
                <w:b/>
                <w:sz w:val="20"/>
                <w:szCs w:val="20"/>
              </w:rPr>
              <w:t>Teacher</w:t>
            </w:r>
          </w:p>
        </w:tc>
        <w:tc>
          <w:tcPr>
            <w:tcW w:w="6974" w:type="dxa"/>
            <w:gridSpan w:val="4"/>
            <w:tcBorders>
              <w:left w:val="double" w:sz="4" w:space="0" w:color="auto"/>
            </w:tcBorders>
            <w:vAlign w:val="center"/>
          </w:tcPr>
          <w:p w14:paraId="4B0FFA75" w14:textId="1BF75F05" w:rsidR="00327BC7" w:rsidRPr="009F23EB" w:rsidRDefault="002444FB" w:rsidP="004A7095">
            <w:pPr>
              <w:jc w:val="center"/>
              <w:rPr>
                <w:sz w:val="20"/>
                <w:szCs w:val="20"/>
                <w:lang w:val="hr-BA"/>
              </w:rPr>
            </w:pPr>
            <w:r>
              <w:rPr>
                <w:spacing w:val="-3"/>
                <w:sz w:val="20"/>
                <w:szCs w:val="20"/>
                <w:lang w:val="hr-BA"/>
              </w:rPr>
              <w:t>Assis.prof</w:t>
            </w:r>
            <w:r w:rsidR="00066BCC">
              <w:rPr>
                <w:spacing w:val="-3"/>
                <w:sz w:val="20"/>
                <w:szCs w:val="20"/>
                <w:lang w:val="hr-BA"/>
              </w:rPr>
              <w:t>. Damir Špago</w:t>
            </w:r>
          </w:p>
        </w:tc>
      </w:tr>
      <w:tr w:rsidR="00327BC7" w:rsidRPr="009F23EB" w14:paraId="73B33D39"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6CD3CA9" w14:textId="77777777" w:rsidR="00327BC7" w:rsidRPr="009F23EB" w:rsidRDefault="00327BC7" w:rsidP="004A7095">
            <w:pPr>
              <w:jc w:val="center"/>
              <w:rPr>
                <w:b/>
                <w:sz w:val="20"/>
                <w:szCs w:val="20"/>
                <w:lang w:val="hr-BA"/>
              </w:rPr>
            </w:pPr>
            <w:r>
              <w:rPr>
                <w:b/>
                <w:sz w:val="20"/>
                <w:szCs w:val="20"/>
              </w:rPr>
              <w:t>Contact details</w:t>
            </w:r>
          </w:p>
        </w:tc>
        <w:tc>
          <w:tcPr>
            <w:tcW w:w="6974" w:type="dxa"/>
            <w:gridSpan w:val="4"/>
            <w:tcBorders>
              <w:left w:val="double" w:sz="4" w:space="0" w:color="auto"/>
            </w:tcBorders>
            <w:vAlign w:val="center"/>
          </w:tcPr>
          <w:p w14:paraId="7A9CFD6D" w14:textId="3DEC1340" w:rsidR="00327BC7" w:rsidRPr="009F23EB" w:rsidRDefault="00327BC7" w:rsidP="004A7095">
            <w:pPr>
              <w:rPr>
                <w:spacing w:val="-3"/>
                <w:sz w:val="20"/>
                <w:szCs w:val="20"/>
                <w:lang w:val="hr-BA"/>
              </w:rPr>
            </w:pPr>
            <w:r w:rsidRPr="009F23EB">
              <w:rPr>
                <w:i/>
                <w:spacing w:val="-3"/>
                <w:sz w:val="20"/>
                <w:szCs w:val="20"/>
                <w:lang w:val="hr-BA"/>
              </w:rPr>
              <w:t>E-mail</w:t>
            </w:r>
            <w:r w:rsidRPr="009F23EB">
              <w:rPr>
                <w:spacing w:val="-3"/>
                <w:sz w:val="20"/>
                <w:szCs w:val="20"/>
                <w:lang w:val="hr-BA"/>
              </w:rPr>
              <w:t xml:space="preserve">: </w:t>
            </w:r>
            <w:r w:rsidR="00066BCC">
              <w:rPr>
                <w:spacing w:val="-3"/>
                <w:sz w:val="20"/>
                <w:szCs w:val="20"/>
                <w:lang w:val="hr-BA"/>
              </w:rPr>
              <w:t>damir.spago</w:t>
            </w:r>
            <w:r w:rsidRPr="009F23EB">
              <w:rPr>
                <w:spacing w:val="-3"/>
                <w:sz w:val="20"/>
                <w:szCs w:val="20"/>
                <w:lang w:val="hr-BA"/>
              </w:rPr>
              <w:t xml:space="preserve">@unmo.ba        </w:t>
            </w:r>
            <w:r>
              <w:rPr>
                <w:spacing w:val="-3"/>
                <w:sz w:val="20"/>
                <w:szCs w:val="20"/>
                <w:lang w:val="hr-BA"/>
              </w:rPr>
              <w:t xml:space="preserve">    </w:t>
            </w:r>
            <w:r w:rsidRPr="009F23EB">
              <w:rPr>
                <w:spacing w:val="-3"/>
                <w:sz w:val="20"/>
                <w:szCs w:val="20"/>
                <w:lang w:val="hr-BA"/>
              </w:rPr>
              <w:t xml:space="preserve"> </w:t>
            </w:r>
            <w:r>
              <w:rPr>
                <w:spacing w:val="-3"/>
                <w:sz w:val="20"/>
                <w:szCs w:val="20"/>
                <w:lang w:val="hr-BA"/>
              </w:rPr>
              <w:t xml:space="preserve"> </w:t>
            </w:r>
          </w:p>
        </w:tc>
      </w:tr>
      <w:tr w:rsidR="00327BC7" w:rsidRPr="009F23EB" w14:paraId="16955435"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E40B303" w14:textId="77777777" w:rsidR="00327BC7" w:rsidRPr="009F23EB" w:rsidRDefault="00327BC7" w:rsidP="004A7095">
            <w:pPr>
              <w:jc w:val="center"/>
              <w:rPr>
                <w:b/>
                <w:sz w:val="20"/>
                <w:szCs w:val="20"/>
                <w:lang w:val="hr-BA"/>
              </w:rPr>
            </w:pPr>
            <w:r w:rsidRPr="00B76807">
              <w:rPr>
                <w:b/>
                <w:sz w:val="20"/>
                <w:szCs w:val="20"/>
              </w:rPr>
              <w:t xml:space="preserve">The total number </w:t>
            </w:r>
            <w:r>
              <w:rPr>
                <w:b/>
                <w:sz w:val="20"/>
                <w:szCs w:val="20"/>
              </w:rPr>
              <w:t>of</w:t>
            </w:r>
            <w:r w:rsidRPr="00B76807">
              <w:rPr>
                <w:b/>
                <w:sz w:val="20"/>
                <w:szCs w:val="20"/>
              </w:rPr>
              <w:t xml:space="preserve"> </w:t>
            </w:r>
            <w:r>
              <w:rPr>
                <w:b/>
                <w:sz w:val="20"/>
                <w:szCs w:val="20"/>
              </w:rPr>
              <w:t>modul hours</w:t>
            </w:r>
          </w:p>
        </w:tc>
        <w:tc>
          <w:tcPr>
            <w:tcW w:w="2611" w:type="dxa"/>
            <w:tcBorders>
              <w:left w:val="double" w:sz="4" w:space="0" w:color="auto"/>
            </w:tcBorders>
            <w:vAlign w:val="center"/>
          </w:tcPr>
          <w:p w14:paraId="532044F1" w14:textId="77777777" w:rsidR="00327BC7" w:rsidRPr="009F23EB" w:rsidRDefault="00327BC7" w:rsidP="004A7095">
            <w:pPr>
              <w:rPr>
                <w:sz w:val="20"/>
                <w:szCs w:val="20"/>
                <w:lang w:val="hr-BA"/>
              </w:rPr>
            </w:pPr>
            <w:r>
              <w:rPr>
                <w:sz w:val="20"/>
                <w:szCs w:val="20"/>
              </w:rPr>
              <w:t>L</w:t>
            </w:r>
            <w:r w:rsidRPr="00B76807">
              <w:rPr>
                <w:sz w:val="20"/>
                <w:szCs w:val="20"/>
              </w:rPr>
              <w:t>ectures per week:</w:t>
            </w:r>
            <w:r w:rsidRPr="009F23EB">
              <w:rPr>
                <w:sz w:val="20"/>
                <w:szCs w:val="20"/>
                <w:lang w:val="hr-BA"/>
              </w:rPr>
              <w:t xml:space="preserve">2 </w:t>
            </w:r>
          </w:p>
        </w:tc>
        <w:tc>
          <w:tcPr>
            <w:tcW w:w="2318" w:type="dxa"/>
            <w:gridSpan w:val="2"/>
            <w:vAlign w:val="center"/>
          </w:tcPr>
          <w:p w14:paraId="1801BD00" w14:textId="77777777" w:rsidR="00327BC7" w:rsidRPr="009F23EB" w:rsidRDefault="00327BC7" w:rsidP="004A7095">
            <w:pPr>
              <w:jc w:val="center"/>
              <w:rPr>
                <w:sz w:val="20"/>
                <w:szCs w:val="20"/>
                <w:lang w:val="hr-BA"/>
              </w:rPr>
            </w:pPr>
            <w:r>
              <w:rPr>
                <w:sz w:val="20"/>
                <w:szCs w:val="20"/>
              </w:rPr>
              <w:t>E</w:t>
            </w:r>
            <w:r w:rsidRPr="00B76807">
              <w:rPr>
                <w:sz w:val="20"/>
                <w:szCs w:val="20"/>
              </w:rPr>
              <w:t>xercise per week</w:t>
            </w:r>
            <w:r w:rsidRPr="009F23EB">
              <w:rPr>
                <w:sz w:val="20"/>
                <w:szCs w:val="20"/>
                <w:lang w:val="hr-BA"/>
              </w:rPr>
              <w:t>: 2</w:t>
            </w:r>
          </w:p>
        </w:tc>
        <w:tc>
          <w:tcPr>
            <w:tcW w:w="2045" w:type="dxa"/>
            <w:vAlign w:val="center"/>
          </w:tcPr>
          <w:p w14:paraId="15BC6E9C" w14:textId="77777777" w:rsidR="00327BC7" w:rsidRDefault="00327BC7" w:rsidP="004A7095">
            <w:pPr>
              <w:jc w:val="center"/>
              <w:rPr>
                <w:sz w:val="20"/>
                <w:szCs w:val="20"/>
                <w:lang w:val="hr-BA"/>
              </w:rPr>
            </w:pPr>
            <w:r w:rsidRPr="00CF6724">
              <w:rPr>
                <w:sz w:val="20"/>
                <w:szCs w:val="20"/>
              </w:rPr>
              <w:t>Total Hours</w:t>
            </w:r>
          </w:p>
          <w:p w14:paraId="78EC26B1" w14:textId="77777777" w:rsidR="00327BC7" w:rsidRPr="009F23EB" w:rsidRDefault="00327BC7" w:rsidP="004A7095">
            <w:pPr>
              <w:jc w:val="center"/>
              <w:rPr>
                <w:sz w:val="20"/>
                <w:szCs w:val="20"/>
                <w:lang w:val="hr-BA"/>
              </w:rPr>
            </w:pPr>
            <w:r>
              <w:rPr>
                <w:sz w:val="20"/>
                <w:szCs w:val="20"/>
                <w:lang w:val="hr-BA"/>
              </w:rPr>
              <w:t>30+30 (L+E)</w:t>
            </w:r>
          </w:p>
        </w:tc>
      </w:tr>
      <w:tr w:rsidR="00327BC7" w:rsidRPr="009F23EB" w14:paraId="0484D35A"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79CC2B20" w14:textId="77777777" w:rsidR="00327BC7" w:rsidRPr="009F23EB" w:rsidRDefault="00327BC7" w:rsidP="004A7095">
            <w:pPr>
              <w:jc w:val="center"/>
              <w:rPr>
                <w:b/>
                <w:sz w:val="20"/>
                <w:szCs w:val="20"/>
                <w:lang w:val="hr-BA"/>
              </w:rPr>
            </w:pPr>
            <w:r w:rsidRPr="00CF6724">
              <w:rPr>
                <w:b/>
                <w:sz w:val="20"/>
                <w:szCs w:val="20"/>
              </w:rPr>
              <w:t>ECT</w:t>
            </w:r>
            <w:r>
              <w:rPr>
                <w:b/>
                <w:sz w:val="20"/>
                <w:szCs w:val="20"/>
              </w:rPr>
              <w:t>S</w:t>
            </w:r>
          </w:p>
        </w:tc>
        <w:tc>
          <w:tcPr>
            <w:tcW w:w="6974" w:type="dxa"/>
            <w:gridSpan w:val="4"/>
            <w:tcBorders>
              <w:left w:val="double" w:sz="4" w:space="0" w:color="auto"/>
            </w:tcBorders>
            <w:vAlign w:val="center"/>
          </w:tcPr>
          <w:p w14:paraId="289F5B78" w14:textId="77777777" w:rsidR="00327BC7" w:rsidRPr="009F23EB" w:rsidRDefault="00327BC7" w:rsidP="004A7095">
            <w:pPr>
              <w:jc w:val="center"/>
              <w:rPr>
                <w:sz w:val="20"/>
                <w:szCs w:val="20"/>
                <w:lang w:val="hr-BA"/>
              </w:rPr>
            </w:pPr>
            <w:r>
              <w:rPr>
                <w:sz w:val="20"/>
                <w:szCs w:val="20"/>
                <w:lang w:val="hr-BA"/>
              </w:rPr>
              <w:t>6</w:t>
            </w:r>
            <w:r w:rsidRPr="009F23EB">
              <w:rPr>
                <w:sz w:val="20"/>
                <w:szCs w:val="20"/>
                <w:lang w:val="hr-BA"/>
              </w:rPr>
              <w:t xml:space="preserve"> ECTS</w:t>
            </w:r>
          </w:p>
        </w:tc>
      </w:tr>
      <w:tr w:rsidR="00327BC7" w:rsidRPr="009F23EB" w14:paraId="4AC1FB9D"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76ACE57B" w14:textId="77777777" w:rsidR="00327BC7" w:rsidRPr="009F23EB" w:rsidRDefault="00327BC7" w:rsidP="004A7095">
            <w:pPr>
              <w:jc w:val="center"/>
              <w:rPr>
                <w:b/>
                <w:sz w:val="20"/>
                <w:szCs w:val="20"/>
                <w:lang w:val="hr-BA"/>
              </w:rPr>
            </w:pPr>
            <w:r>
              <w:rPr>
                <w:b/>
                <w:sz w:val="20"/>
                <w:szCs w:val="20"/>
              </w:rPr>
              <w:t>Qualifications</w:t>
            </w:r>
          </w:p>
        </w:tc>
        <w:tc>
          <w:tcPr>
            <w:tcW w:w="6974" w:type="dxa"/>
            <w:gridSpan w:val="4"/>
            <w:tcBorders>
              <w:left w:val="double" w:sz="4" w:space="0" w:color="auto"/>
            </w:tcBorders>
            <w:vAlign w:val="center"/>
          </w:tcPr>
          <w:p w14:paraId="61EC8BF4" w14:textId="38F6D5AF" w:rsidR="00327BC7" w:rsidRPr="009F23EB" w:rsidRDefault="00F30D5E" w:rsidP="00F30D5E">
            <w:pPr>
              <w:jc w:val="center"/>
              <w:rPr>
                <w:sz w:val="20"/>
                <w:szCs w:val="20"/>
                <w:lang w:val="hr-BA"/>
              </w:rPr>
            </w:pPr>
            <w:r w:rsidRPr="00F30D5E">
              <w:rPr>
                <w:sz w:val="20"/>
                <w:szCs w:val="20"/>
              </w:rPr>
              <w:t>Master of Mechanical Engineering</w:t>
            </w:r>
          </w:p>
        </w:tc>
      </w:tr>
      <w:tr w:rsidR="00327BC7" w:rsidRPr="009F23EB" w14:paraId="1CE3B413"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0EDE8610" w14:textId="77777777" w:rsidR="00327BC7" w:rsidRPr="009F23EB" w:rsidRDefault="00327BC7" w:rsidP="004A7095">
            <w:pPr>
              <w:jc w:val="center"/>
              <w:rPr>
                <w:b/>
                <w:sz w:val="20"/>
                <w:szCs w:val="20"/>
                <w:lang w:val="hr-BA"/>
              </w:rPr>
            </w:pPr>
            <w:r>
              <w:rPr>
                <w:b/>
                <w:sz w:val="20"/>
                <w:szCs w:val="20"/>
              </w:rPr>
              <w:t>Modul status</w:t>
            </w:r>
          </w:p>
        </w:tc>
        <w:tc>
          <w:tcPr>
            <w:tcW w:w="6974" w:type="dxa"/>
            <w:gridSpan w:val="4"/>
            <w:tcBorders>
              <w:left w:val="double" w:sz="4" w:space="0" w:color="auto"/>
            </w:tcBorders>
            <w:vAlign w:val="center"/>
          </w:tcPr>
          <w:p w14:paraId="09C9C6FE" w14:textId="77777777" w:rsidR="00327BC7" w:rsidRPr="009F23EB" w:rsidRDefault="00327BC7" w:rsidP="004A7095">
            <w:pPr>
              <w:jc w:val="center"/>
              <w:rPr>
                <w:sz w:val="20"/>
                <w:szCs w:val="20"/>
                <w:lang w:val="hr-BA"/>
              </w:rPr>
            </w:pPr>
            <w:r>
              <w:rPr>
                <w:sz w:val="20"/>
                <w:szCs w:val="20"/>
              </w:rPr>
              <w:t>Compulsory</w:t>
            </w:r>
          </w:p>
        </w:tc>
      </w:tr>
      <w:tr w:rsidR="00327BC7" w:rsidRPr="009F23EB" w14:paraId="30FB6AA3"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6800069" w14:textId="77777777" w:rsidR="00327BC7" w:rsidRPr="005B1F4B" w:rsidRDefault="00327BC7" w:rsidP="004A7095">
            <w:pPr>
              <w:spacing w:before="0" w:after="0" w:line="240" w:lineRule="auto"/>
              <w:jc w:val="center"/>
              <w:rPr>
                <w:b/>
                <w:sz w:val="20"/>
                <w:szCs w:val="20"/>
                <w:lang w:val="en-US" w:eastAsia="bs-Latn-BA"/>
              </w:rPr>
            </w:pPr>
            <w:r>
              <w:rPr>
                <w:b/>
                <w:sz w:val="20"/>
                <w:szCs w:val="20"/>
                <w:lang w:val="en-US" w:eastAsia="bs-Latn-BA"/>
              </w:rPr>
              <w:t>Requirements for examination</w:t>
            </w:r>
          </w:p>
        </w:tc>
        <w:tc>
          <w:tcPr>
            <w:tcW w:w="6974" w:type="dxa"/>
            <w:gridSpan w:val="4"/>
            <w:tcBorders>
              <w:left w:val="double" w:sz="4" w:space="0" w:color="auto"/>
            </w:tcBorders>
            <w:vAlign w:val="center"/>
          </w:tcPr>
          <w:p w14:paraId="579CAF3C" w14:textId="77777777" w:rsidR="00327BC7" w:rsidRPr="009F23EB" w:rsidRDefault="00327BC7" w:rsidP="004A7095">
            <w:pPr>
              <w:jc w:val="center"/>
              <w:rPr>
                <w:sz w:val="20"/>
                <w:szCs w:val="20"/>
                <w:lang w:val="hr-BA"/>
              </w:rPr>
            </w:pPr>
            <w:r>
              <w:rPr>
                <w:sz w:val="20"/>
                <w:szCs w:val="20"/>
                <w:lang w:val="hr-BA"/>
              </w:rPr>
              <w:t>-</w:t>
            </w:r>
          </w:p>
        </w:tc>
      </w:tr>
      <w:tr w:rsidR="00327BC7" w:rsidRPr="009F23EB" w14:paraId="3EBEA8C9"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836C0E3" w14:textId="77777777" w:rsidR="00327BC7" w:rsidRPr="009F23EB" w:rsidRDefault="00327BC7" w:rsidP="004A7095">
            <w:pPr>
              <w:jc w:val="center"/>
              <w:rPr>
                <w:b/>
                <w:sz w:val="20"/>
                <w:szCs w:val="20"/>
                <w:lang w:val="hr-BA"/>
              </w:rPr>
            </w:pPr>
            <w:r w:rsidRPr="00286D9D">
              <w:rPr>
                <w:b/>
                <w:sz w:val="20"/>
                <w:szCs w:val="20"/>
              </w:rPr>
              <w:t xml:space="preserve">Restrictions on access to </w:t>
            </w:r>
            <w:r>
              <w:rPr>
                <w:b/>
                <w:sz w:val="20"/>
                <w:szCs w:val="20"/>
              </w:rPr>
              <w:t>modul</w:t>
            </w:r>
          </w:p>
        </w:tc>
        <w:tc>
          <w:tcPr>
            <w:tcW w:w="6974" w:type="dxa"/>
            <w:gridSpan w:val="4"/>
            <w:tcBorders>
              <w:left w:val="double" w:sz="4" w:space="0" w:color="auto"/>
            </w:tcBorders>
            <w:vAlign w:val="center"/>
          </w:tcPr>
          <w:p w14:paraId="27929DDB" w14:textId="77777777" w:rsidR="00327BC7" w:rsidRPr="009F23EB" w:rsidRDefault="00327BC7" w:rsidP="004A7095">
            <w:pPr>
              <w:jc w:val="center"/>
              <w:rPr>
                <w:sz w:val="20"/>
                <w:szCs w:val="20"/>
                <w:lang w:val="hr-BA"/>
              </w:rPr>
            </w:pPr>
            <w:r>
              <w:rPr>
                <w:sz w:val="20"/>
                <w:szCs w:val="20"/>
                <w:lang w:val="hr-BA"/>
              </w:rPr>
              <w:t>-</w:t>
            </w:r>
          </w:p>
        </w:tc>
      </w:tr>
      <w:tr w:rsidR="00327BC7" w:rsidRPr="009F23EB" w14:paraId="05B3E22B"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35DF2C6" w14:textId="77777777" w:rsidR="00327BC7" w:rsidRPr="009F23EB" w:rsidRDefault="00327BC7" w:rsidP="004A7095">
            <w:pPr>
              <w:jc w:val="center"/>
              <w:rPr>
                <w:b/>
                <w:sz w:val="20"/>
                <w:szCs w:val="20"/>
                <w:lang w:val="hr-BA"/>
              </w:rPr>
            </w:pPr>
            <w:r w:rsidRPr="00286D9D">
              <w:rPr>
                <w:b/>
                <w:sz w:val="20"/>
                <w:szCs w:val="20"/>
              </w:rPr>
              <w:t xml:space="preserve">Explanation of </w:t>
            </w:r>
            <w:r>
              <w:rPr>
                <w:b/>
                <w:sz w:val="20"/>
                <w:szCs w:val="20"/>
              </w:rPr>
              <w:t>credits point</w:t>
            </w:r>
          </w:p>
        </w:tc>
        <w:tc>
          <w:tcPr>
            <w:tcW w:w="6974" w:type="dxa"/>
            <w:gridSpan w:val="4"/>
            <w:tcBorders>
              <w:left w:val="double" w:sz="4" w:space="0" w:color="auto"/>
            </w:tcBorders>
            <w:vAlign w:val="center"/>
          </w:tcPr>
          <w:p w14:paraId="36C62309" w14:textId="77777777" w:rsidR="005676FB" w:rsidRPr="005676FB" w:rsidRDefault="005676FB" w:rsidP="009D3885">
            <w:pPr>
              <w:spacing w:before="0" w:after="0"/>
              <w:jc w:val="both"/>
              <w:rPr>
                <w:sz w:val="20"/>
                <w:szCs w:val="20"/>
              </w:rPr>
            </w:pPr>
            <w:r w:rsidRPr="005676FB">
              <w:rPr>
                <w:sz w:val="20"/>
                <w:szCs w:val="20"/>
              </w:rPr>
              <w:t>Total load for the course in the semester:</w:t>
            </w:r>
          </w:p>
          <w:p w14:paraId="6A3AE0F7" w14:textId="77777777" w:rsidR="005676FB" w:rsidRPr="005676FB" w:rsidRDefault="005676FB" w:rsidP="009D3885">
            <w:pPr>
              <w:spacing w:before="0" w:after="0"/>
              <w:jc w:val="both"/>
              <w:rPr>
                <w:sz w:val="20"/>
                <w:szCs w:val="20"/>
              </w:rPr>
            </w:pPr>
            <w:r w:rsidRPr="005676FB">
              <w:rPr>
                <w:sz w:val="20"/>
                <w:szCs w:val="20"/>
              </w:rPr>
              <w:t>Lectures: 30 h</w:t>
            </w:r>
          </w:p>
          <w:p w14:paraId="6FD5559E" w14:textId="77777777" w:rsidR="005676FB" w:rsidRPr="005676FB" w:rsidRDefault="005676FB" w:rsidP="009D3885">
            <w:pPr>
              <w:spacing w:before="0" w:after="0"/>
              <w:jc w:val="both"/>
              <w:rPr>
                <w:sz w:val="20"/>
                <w:szCs w:val="20"/>
              </w:rPr>
            </w:pPr>
            <w:r w:rsidRPr="005676FB">
              <w:rPr>
                <w:sz w:val="20"/>
                <w:szCs w:val="20"/>
              </w:rPr>
              <w:t>Exercises: 30 h</w:t>
            </w:r>
          </w:p>
          <w:p w14:paraId="66429232" w14:textId="77777777" w:rsidR="005676FB" w:rsidRPr="005676FB" w:rsidRDefault="005676FB" w:rsidP="009D3885">
            <w:pPr>
              <w:spacing w:before="0" w:after="0"/>
              <w:jc w:val="both"/>
              <w:rPr>
                <w:sz w:val="20"/>
                <w:szCs w:val="20"/>
              </w:rPr>
            </w:pPr>
            <w:r w:rsidRPr="005676FB">
              <w:rPr>
                <w:sz w:val="20"/>
                <w:szCs w:val="20"/>
              </w:rPr>
              <w:t>Independent work: 60 h</w:t>
            </w:r>
          </w:p>
          <w:p w14:paraId="22EF757D" w14:textId="77777777" w:rsidR="005676FB" w:rsidRPr="005676FB" w:rsidRDefault="005676FB" w:rsidP="009D3885">
            <w:pPr>
              <w:spacing w:before="0" w:after="0"/>
              <w:jc w:val="both"/>
              <w:rPr>
                <w:sz w:val="20"/>
                <w:szCs w:val="20"/>
              </w:rPr>
            </w:pPr>
            <w:r w:rsidRPr="005676FB">
              <w:rPr>
                <w:sz w:val="20"/>
                <w:szCs w:val="20"/>
              </w:rPr>
              <w:t>Program assignment: 30 h</w:t>
            </w:r>
          </w:p>
          <w:p w14:paraId="363761E8" w14:textId="577AF069" w:rsidR="00327BC7" w:rsidRPr="00CB2788" w:rsidRDefault="005676FB" w:rsidP="009D3885">
            <w:pPr>
              <w:spacing w:before="0" w:after="0"/>
              <w:jc w:val="both"/>
              <w:rPr>
                <w:color w:val="FFFFFF"/>
                <w:sz w:val="20"/>
                <w:szCs w:val="20"/>
              </w:rPr>
            </w:pPr>
            <w:r w:rsidRPr="005676FB">
              <w:rPr>
                <w:sz w:val="20"/>
                <w:szCs w:val="20"/>
              </w:rPr>
              <w:t>TOTAL 150 h / 25 = 6 ECTS</w:t>
            </w:r>
          </w:p>
        </w:tc>
      </w:tr>
      <w:tr w:rsidR="00327BC7" w:rsidRPr="009F23EB" w14:paraId="19262CCB"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0F839C6" w14:textId="77777777" w:rsidR="00327BC7" w:rsidRPr="009F23EB" w:rsidRDefault="00327BC7" w:rsidP="004A7095">
            <w:pPr>
              <w:jc w:val="center"/>
              <w:rPr>
                <w:b/>
                <w:sz w:val="20"/>
                <w:szCs w:val="20"/>
                <w:lang w:val="hr-BA"/>
              </w:rPr>
            </w:pPr>
            <w:r>
              <w:rPr>
                <w:b/>
                <w:sz w:val="20"/>
                <w:szCs w:val="20"/>
              </w:rPr>
              <w:t>The aim of modul</w:t>
            </w:r>
          </w:p>
        </w:tc>
        <w:tc>
          <w:tcPr>
            <w:tcW w:w="6974" w:type="dxa"/>
            <w:gridSpan w:val="4"/>
            <w:tcBorders>
              <w:left w:val="double" w:sz="4" w:space="0" w:color="auto"/>
            </w:tcBorders>
            <w:vAlign w:val="center"/>
          </w:tcPr>
          <w:p w14:paraId="2A084C00" w14:textId="77777777" w:rsidR="00066BCC" w:rsidRPr="00066BCC" w:rsidRDefault="00066BCC" w:rsidP="009D3885">
            <w:pPr>
              <w:numPr>
                <w:ilvl w:val="0"/>
                <w:numId w:val="6"/>
              </w:numPr>
              <w:spacing w:before="0" w:after="0" w:line="240" w:lineRule="auto"/>
              <w:jc w:val="both"/>
              <w:rPr>
                <w:sz w:val="20"/>
                <w:szCs w:val="20"/>
                <w:lang w:val="en-US"/>
              </w:rPr>
            </w:pPr>
            <w:r w:rsidRPr="00066BCC">
              <w:rPr>
                <w:sz w:val="20"/>
                <w:szCs w:val="20"/>
                <w:lang w:val="en-US"/>
              </w:rPr>
              <w:t xml:space="preserve">This course </w:t>
            </w:r>
            <w:proofErr w:type="gramStart"/>
            <w:r w:rsidRPr="00066BCC">
              <w:rPr>
                <w:sz w:val="20"/>
                <w:szCs w:val="20"/>
                <w:lang w:val="en-US"/>
              </w:rPr>
              <w:t>provides an introduction to</w:t>
            </w:r>
            <w:proofErr w:type="gramEnd"/>
            <w:r w:rsidRPr="00066BCC">
              <w:rPr>
                <w:sz w:val="20"/>
                <w:szCs w:val="20"/>
                <w:lang w:val="en-US"/>
              </w:rPr>
              <w:t xml:space="preserve"> geothermal energy, covering direct applications (including the use of various types of heat pumps) and indirect (electricity generation), including enhanced geothermal systems for non-volcanic areas.</w:t>
            </w:r>
          </w:p>
          <w:p w14:paraId="1B585EFD" w14:textId="4140F2F5" w:rsidR="00066BCC" w:rsidRPr="00066BCC" w:rsidRDefault="00066BCC" w:rsidP="009D3885">
            <w:pPr>
              <w:numPr>
                <w:ilvl w:val="0"/>
                <w:numId w:val="6"/>
              </w:numPr>
              <w:spacing w:before="0" w:after="0" w:line="240" w:lineRule="auto"/>
              <w:jc w:val="both"/>
              <w:rPr>
                <w:sz w:val="20"/>
                <w:szCs w:val="20"/>
                <w:lang w:val="en-US"/>
              </w:rPr>
            </w:pPr>
            <w:r w:rsidRPr="00066BCC">
              <w:rPr>
                <w:sz w:val="20"/>
                <w:szCs w:val="20"/>
                <w:lang w:val="en-US"/>
              </w:rPr>
              <w:t>After completing the course, students should be able to understand the principles and techniques of using geothermal energy and identify the main problems related to the further development of geothermal energy.</w:t>
            </w:r>
          </w:p>
          <w:p w14:paraId="1D6725E9" w14:textId="12173A96" w:rsidR="00327BC7" w:rsidRPr="000E0090" w:rsidRDefault="00066BCC" w:rsidP="009D3885">
            <w:pPr>
              <w:numPr>
                <w:ilvl w:val="0"/>
                <w:numId w:val="6"/>
              </w:numPr>
              <w:spacing w:before="0" w:after="0" w:line="240" w:lineRule="auto"/>
              <w:jc w:val="both"/>
              <w:rPr>
                <w:sz w:val="20"/>
                <w:szCs w:val="20"/>
                <w:lang w:val="en-US"/>
              </w:rPr>
            </w:pPr>
            <w:r w:rsidRPr="00066BCC">
              <w:rPr>
                <w:sz w:val="20"/>
                <w:szCs w:val="20"/>
                <w:lang w:val="en-US"/>
              </w:rPr>
              <w:t xml:space="preserve">A strong emphasis is placed on a thorough understanding of the thermal, </w:t>
            </w:r>
            <w:proofErr w:type="gramStart"/>
            <w:r w:rsidRPr="00066BCC">
              <w:rPr>
                <w:sz w:val="20"/>
                <w:szCs w:val="20"/>
                <w:lang w:val="en-US"/>
              </w:rPr>
              <w:t>hydraulic</w:t>
            </w:r>
            <w:proofErr w:type="gramEnd"/>
            <w:r w:rsidRPr="00066BCC">
              <w:rPr>
                <w:sz w:val="20"/>
                <w:szCs w:val="20"/>
                <w:lang w:val="en-US"/>
              </w:rPr>
              <w:t xml:space="preserve"> and mechanical processes occurring in a geothermal reservoir, which are also important for non-thermal applications such as CO</w:t>
            </w:r>
            <w:r w:rsidRPr="009D3885">
              <w:rPr>
                <w:sz w:val="20"/>
                <w:szCs w:val="20"/>
                <w:vertAlign w:val="subscript"/>
                <w:lang w:val="en-US"/>
              </w:rPr>
              <w:t>2</w:t>
            </w:r>
            <w:r w:rsidRPr="00066BCC">
              <w:rPr>
                <w:sz w:val="20"/>
                <w:szCs w:val="20"/>
                <w:lang w:val="en-US"/>
              </w:rPr>
              <w:t xml:space="preserve"> geo-sequestration, underground storage of nuclear waste and other applications.</w:t>
            </w:r>
          </w:p>
        </w:tc>
      </w:tr>
      <w:tr w:rsidR="00327BC7" w:rsidRPr="009F23EB" w14:paraId="6E3051F1"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89136B8" w14:textId="77777777" w:rsidR="00327BC7" w:rsidRPr="0033002E" w:rsidRDefault="00327BC7" w:rsidP="004A7095">
            <w:pPr>
              <w:spacing w:before="0" w:after="0" w:line="240" w:lineRule="auto"/>
              <w:jc w:val="center"/>
              <w:rPr>
                <w:b/>
                <w:sz w:val="20"/>
                <w:szCs w:val="20"/>
                <w:lang w:val="en-US" w:eastAsia="bs-Latn-BA"/>
              </w:rPr>
            </w:pPr>
            <w:r w:rsidRPr="0033002E">
              <w:rPr>
                <w:b/>
                <w:sz w:val="20"/>
                <w:szCs w:val="20"/>
                <w:lang w:val="en-US" w:eastAsia="bs-Latn-BA"/>
              </w:rPr>
              <w:t>Description of general and specific competences (knowledge and skills) / learning outcomes</w:t>
            </w:r>
          </w:p>
          <w:p w14:paraId="25ED1BEB" w14:textId="77777777" w:rsidR="00327BC7" w:rsidRPr="009F23EB" w:rsidRDefault="00327BC7" w:rsidP="004A7095">
            <w:pPr>
              <w:jc w:val="center"/>
              <w:rPr>
                <w:b/>
                <w:sz w:val="20"/>
                <w:szCs w:val="20"/>
                <w:highlight w:val="yellow"/>
                <w:lang w:val="hr-BA"/>
              </w:rPr>
            </w:pPr>
          </w:p>
        </w:tc>
        <w:tc>
          <w:tcPr>
            <w:tcW w:w="6974" w:type="dxa"/>
            <w:gridSpan w:val="4"/>
            <w:tcBorders>
              <w:left w:val="double" w:sz="4" w:space="0" w:color="auto"/>
            </w:tcBorders>
            <w:vAlign w:val="center"/>
          </w:tcPr>
          <w:p w14:paraId="1454CF81" w14:textId="77777777" w:rsidR="00327BC7" w:rsidRPr="00A51AE7" w:rsidRDefault="00327BC7" w:rsidP="009D3885">
            <w:pPr>
              <w:jc w:val="both"/>
              <w:rPr>
                <w:spacing w:val="-3"/>
                <w:sz w:val="20"/>
                <w:szCs w:val="18"/>
                <w:lang w:val="hr-BA"/>
              </w:rPr>
            </w:pPr>
            <w:r w:rsidRPr="00A51AE7">
              <w:rPr>
                <w:i/>
                <w:spacing w:val="-3"/>
                <w:sz w:val="20"/>
                <w:szCs w:val="18"/>
              </w:rPr>
              <w:t xml:space="preserve">Upon successful completion of this </w:t>
            </w:r>
            <w:r>
              <w:rPr>
                <w:i/>
                <w:spacing w:val="-3"/>
                <w:sz w:val="20"/>
                <w:szCs w:val="18"/>
              </w:rPr>
              <w:t>modul</w:t>
            </w:r>
            <w:r w:rsidRPr="00A51AE7">
              <w:rPr>
                <w:i/>
                <w:spacing w:val="-3"/>
                <w:sz w:val="20"/>
                <w:szCs w:val="18"/>
              </w:rPr>
              <w:t>, students will be able to and / or be able to:</w:t>
            </w:r>
          </w:p>
          <w:p w14:paraId="61D5E25A" w14:textId="77777777" w:rsidR="00066BCC" w:rsidRPr="00066BCC" w:rsidRDefault="00066BCC" w:rsidP="009D3885">
            <w:pPr>
              <w:jc w:val="both"/>
              <w:rPr>
                <w:sz w:val="20"/>
                <w:szCs w:val="20"/>
                <w:lang w:val="en-US"/>
              </w:rPr>
            </w:pPr>
            <w:r w:rsidRPr="00066BCC">
              <w:rPr>
                <w:sz w:val="20"/>
                <w:szCs w:val="20"/>
                <w:lang w:val="en-US"/>
              </w:rPr>
              <w:t xml:space="preserve">• Understand, </w:t>
            </w:r>
            <w:proofErr w:type="gramStart"/>
            <w:r w:rsidRPr="00066BCC">
              <w:rPr>
                <w:sz w:val="20"/>
                <w:szCs w:val="20"/>
                <w:lang w:val="en-US"/>
              </w:rPr>
              <w:t>describe</w:t>
            </w:r>
            <w:proofErr w:type="gramEnd"/>
            <w:r w:rsidRPr="00066BCC">
              <w:rPr>
                <w:sz w:val="20"/>
                <w:szCs w:val="20"/>
                <w:lang w:val="en-US"/>
              </w:rPr>
              <w:t xml:space="preserve"> and analyze, in a clear and comprehensive way, the entire geothermal energy conversion chain, from its status as an energy source to its use as an energy service. They will also be able to identify, describe and analyze the situation and characteristics of different geothermal energy resources and energy end-uses, in their economic, </w:t>
            </w:r>
            <w:proofErr w:type="gramStart"/>
            <w:r w:rsidRPr="00066BCC">
              <w:rPr>
                <w:sz w:val="20"/>
                <w:szCs w:val="20"/>
                <w:lang w:val="en-US"/>
              </w:rPr>
              <w:t>social</w:t>
            </w:r>
            <w:proofErr w:type="gramEnd"/>
            <w:r w:rsidRPr="00066BCC">
              <w:rPr>
                <w:sz w:val="20"/>
                <w:szCs w:val="20"/>
                <w:lang w:val="en-US"/>
              </w:rPr>
              <w:t xml:space="preserve"> and environmental dimensions.</w:t>
            </w:r>
          </w:p>
          <w:p w14:paraId="65598A28" w14:textId="77777777" w:rsidR="00066BCC" w:rsidRPr="00066BCC" w:rsidRDefault="00066BCC" w:rsidP="009D3885">
            <w:pPr>
              <w:jc w:val="both"/>
              <w:rPr>
                <w:sz w:val="20"/>
                <w:szCs w:val="20"/>
                <w:lang w:val="en-US"/>
              </w:rPr>
            </w:pPr>
            <w:r w:rsidRPr="00066BCC">
              <w:rPr>
                <w:sz w:val="20"/>
                <w:szCs w:val="20"/>
                <w:lang w:val="en-US"/>
              </w:rPr>
              <w:t xml:space="preserve">• Understand the role of geothermal energy in the context of the global and regional energy system, its economic, </w:t>
            </w:r>
            <w:proofErr w:type="gramStart"/>
            <w:r w:rsidRPr="00066BCC">
              <w:rPr>
                <w:sz w:val="20"/>
                <w:szCs w:val="20"/>
                <w:lang w:val="en-US"/>
              </w:rPr>
              <w:t>social</w:t>
            </w:r>
            <w:proofErr w:type="gramEnd"/>
            <w:r w:rsidRPr="00066BCC">
              <w:rPr>
                <w:sz w:val="20"/>
                <w:szCs w:val="20"/>
                <w:lang w:val="en-US"/>
              </w:rPr>
              <w:t xml:space="preserve"> and environmental connotations, and the impact of technologies on the local and global context.</w:t>
            </w:r>
          </w:p>
          <w:p w14:paraId="37161D36" w14:textId="77777777" w:rsidR="00066BCC" w:rsidRPr="00066BCC" w:rsidRDefault="00066BCC" w:rsidP="009D3885">
            <w:pPr>
              <w:jc w:val="both"/>
              <w:rPr>
                <w:sz w:val="20"/>
                <w:szCs w:val="20"/>
                <w:lang w:val="en-US"/>
              </w:rPr>
            </w:pPr>
            <w:r w:rsidRPr="00066BCC">
              <w:rPr>
                <w:sz w:val="20"/>
                <w:szCs w:val="20"/>
                <w:lang w:val="en-US"/>
              </w:rPr>
              <w:lastRenderedPageBreak/>
              <w:t>• Possess the elements of analysis and knowledge necessary for the execution of the project, the basic engineering scale, related to the quality and/or supply of geothermal technology.</w:t>
            </w:r>
          </w:p>
          <w:p w14:paraId="666B840C" w14:textId="77777777" w:rsidR="00066BCC" w:rsidRPr="00066BCC" w:rsidRDefault="00066BCC" w:rsidP="009D3885">
            <w:pPr>
              <w:jc w:val="both"/>
              <w:rPr>
                <w:sz w:val="20"/>
                <w:szCs w:val="20"/>
                <w:lang w:val="en-US"/>
              </w:rPr>
            </w:pPr>
            <w:r w:rsidRPr="00066BCC">
              <w:rPr>
                <w:sz w:val="20"/>
                <w:szCs w:val="20"/>
                <w:lang w:val="en-US"/>
              </w:rPr>
              <w:t>• Know the main directions of research in the field of geothermal energy use technologies and be able to bring innovative ideas and criteria for selecting the most suitable thermal equipment for a given application, dimensioning of geothermal equipment and facilities, and recognize and evaluate the latest technological applications in production, transport, distribution, storage and use geothermal energy.</w:t>
            </w:r>
          </w:p>
          <w:p w14:paraId="04B350D3" w14:textId="45B59B9F" w:rsidR="00327BC7" w:rsidRPr="009F23EB" w:rsidRDefault="00066BCC" w:rsidP="009D3885">
            <w:pPr>
              <w:jc w:val="both"/>
              <w:rPr>
                <w:spacing w:val="-3"/>
                <w:sz w:val="20"/>
                <w:szCs w:val="18"/>
                <w:lang w:val="hr-BA"/>
              </w:rPr>
            </w:pPr>
            <w:r w:rsidRPr="00066BCC">
              <w:rPr>
                <w:sz w:val="20"/>
                <w:szCs w:val="20"/>
                <w:lang w:val="en-US"/>
              </w:rPr>
              <w:t xml:space="preserve">• Analyze the performance of equipment and facilities in operation </w:t>
            </w:r>
            <w:proofErr w:type="gramStart"/>
            <w:r w:rsidRPr="00066BCC">
              <w:rPr>
                <w:sz w:val="20"/>
                <w:szCs w:val="20"/>
                <w:lang w:val="en-US"/>
              </w:rPr>
              <w:t>in order to</w:t>
            </w:r>
            <w:proofErr w:type="gramEnd"/>
            <w:r w:rsidRPr="00066BCC">
              <w:rPr>
                <w:sz w:val="20"/>
                <w:szCs w:val="20"/>
                <w:lang w:val="en-US"/>
              </w:rPr>
              <w:t xml:space="preserve"> perform a diagnostic assessment of the usage system and determine measures to improve their energy efficiency.</w:t>
            </w:r>
          </w:p>
        </w:tc>
      </w:tr>
      <w:tr w:rsidR="00327BC7" w:rsidRPr="009F23EB" w14:paraId="77EF8D2B"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4EC47998" w14:textId="77777777" w:rsidR="00327BC7" w:rsidRPr="0033002E" w:rsidRDefault="00327BC7" w:rsidP="004A7095">
            <w:pPr>
              <w:spacing w:before="0" w:after="0"/>
              <w:jc w:val="center"/>
              <w:rPr>
                <w:b/>
                <w:sz w:val="20"/>
                <w:szCs w:val="20"/>
                <w:lang w:val="en-US"/>
              </w:rPr>
            </w:pPr>
            <w:r w:rsidRPr="0033002E">
              <w:rPr>
                <w:b/>
                <w:sz w:val="20"/>
                <w:szCs w:val="20"/>
                <w:lang w:val="en-US"/>
              </w:rPr>
              <w:lastRenderedPageBreak/>
              <w:t>Modul description</w:t>
            </w:r>
          </w:p>
          <w:p w14:paraId="62799D8C" w14:textId="77777777" w:rsidR="00327BC7" w:rsidRPr="009F23EB" w:rsidRDefault="00327BC7" w:rsidP="004A7095">
            <w:pPr>
              <w:jc w:val="center"/>
              <w:rPr>
                <w:b/>
                <w:sz w:val="20"/>
                <w:szCs w:val="20"/>
                <w:lang w:val="hr-BA"/>
              </w:rPr>
            </w:pPr>
          </w:p>
        </w:tc>
        <w:tc>
          <w:tcPr>
            <w:tcW w:w="6974" w:type="dxa"/>
            <w:gridSpan w:val="4"/>
            <w:tcBorders>
              <w:left w:val="double" w:sz="4" w:space="0" w:color="auto"/>
            </w:tcBorders>
            <w:vAlign w:val="center"/>
          </w:tcPr>
          <w:p w14:paraId="403EC34F"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1. Introduction to the course, scientific challenges; economic perspective, engineering development of geothermal reservoirs.</w:t>
            </w:r>
          </w:p>
          <w:p w14:paraId="42D78F08"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2. Sources of geothermal energy – Origin of geothermal energy, geothermal environments, geothermal reservoir systems. Systems with dominantly convective liquid reservoirs and with dominantly convective vapor reservoirs.</w:t>
            </w:r>
          </w:p>
          <w:p w14:paraId="6296FDDF"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3. Heat transfer in soil - Thermal properties of different types of soil and overview of basic equations.</w:t>
            </w:r>
          </w:p>
          <w:p w14:paraId="5596374A"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4. Fluid flow in the soil (heat transfer in geothermal water flows – thermal properties of water flows, possibilities of use).</w:t>
            </w:r>
          </w:p>
          <w:p w14:paraId="7ED40592"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5. Fluid flow in rock (porous and fractured rock systems).</w:t>
            </w:r>
          </w:p>
          <w:p w14:paraId="26E69D43"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6. International and national applications of geothermal energy.</w:t>
            </w:r>
          </w:p>
          <w:p w14:paraId="782BEA7A"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7. Geomechanics of deposits (fundamentals of geomechanics and well stability, preparation and execution of the drilling process, protection measures and equipment).</w:t>
            </w:r>
          </w:p>
          <w:p w14:paraId="47CF540A"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8. Geomechanics of the reservoir (hydraulic stimulation and other issues).</w:t>
            </w:r>
          </w:p>
          <w:p w14:paraId="77D7D813"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9. Production of electricity using geothermal energy. Steam geothermal plants for electricity production (Single and double Flash systems, Binary systems).</w:t>
            </w:r>
          </w:p>
          <w:p w14:paraId="2E8945F1"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10. Dry-steam systems and combined systems for the production of electricity. Case studies.</w:t>
            </w:r>
          </w:p>
          <w:p w14:paraId="634CFDE6"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11. Direct use of geothermal energy and geothermal heat pump.</w:t>
            </w:r>
          </w:p>
          <w:p w14:paraId="1BB5481C"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12. Heat pumps, division and application possibilities (Compression and absorption heat pumps, advantages and disadvantages of use).</w:t>
            </w:r>
          </w:p>
          <w:p w14:paraId="149C0EB3"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13. Application of heat pumps in heat recovery systems and remote heating and cooling.</w:t>
            </w:r>
          </w:p>
          <w:p w14:paraId="41ECA92B" w14:textId="77777777" w:rsidR="00066BCC" w:rsidRPr="00066BCC" w:rsidRDefault="00066BCC" w:rsidP="009D3885">
            <w:pPr>
              <w:pStyle w:val="Tijeloteksta"/>
              <w:rPr>
                <w:rFonts w:ascii="Times New Roman" w:hAnsi="Times New Roman"/>
                <w:iCs/>
                <w:spacing w:val="-3"/>
                <w:sz w:val="20"/>
                <w:szCs w:val="18"/>
                <w:lang w:val="hr-HR"/>
              </w:rPr>
            </w:pPr>
            <w:r w:rsidRPr="00066BCC">
              <w:rPr>
                <w:rFonts w:ascii="Times New Roman" w:hAnsi="Times New Roman"/>
                <w:iCs/>
                <w:spacing w:val="-3"/>
                <w:sz w:val="20"/>
                <w:szCs w:val="18"/>
                <w:lang w:val="hr-HR"/>
              </w:rPr>
              <w:t>14 Enhanced Geothermal System (EGS). The impact of the use of geothermal energy on the environment.</w:t>
            </w:r>
          </w:p>
          <w:p w14:paraId="410F02E9" w14:textId="2F229CAE" w:rsidR="00327BC7" w:rsidRPr="009F23EB" w:rsidRDefault="00066BCC" w:rsidP="009D3885">
            <w:pPr>
              <w:pStyle w:val="Tijeloteksta"/>
              <w:spacing w:after="60"/>
              <w:rPr>
                <w:rFonts w:ascii="Times New Roman" w:hAnsi="Times New Roman"/>
                <w:b/>
                <w:spacing w:val="-3"/>
                <w:sz w:val="20"/>
                <w:szCs w:val="18"/>
                <w:lang w:val="hr-BA"/>
              </w:rPr>
            </w:pPr>
            <w:r w:rsidRPr="00066BCC">
              <w:rPr>
                <w:rFonts w:ascii="Times New Roman" w:hAnsi="Times New Roman"/>
                <w:iCs/>
                <w:spacing w:val="-3"/>
                <w:sz w:val="20"/>
                <w:szCs w:val="18"/>
                <w:lang w:val="hr-HR"/>
              </w:rPr>
              <w:t>15. Climate changes and new underground engineering applications (geothermal, CO</w:t>
            </w:r>
            <w:r w:rsidRPr="009D3885">
              <w:rPr>
                <w:rFonts w:ascii="Times New Roman" w:hAnsi="Times New Roman"/>
                <w:iCs/>
                <w:spacing w:val="-3"/>
                <w:sz w:val="20"/>
                <w:szCs w:val="18"/>
                <w:vertAlign w:val="subscript"/>
                <w:lang w:val="hr-HR"/>
              </w:rPr>
              <w:t>2</w:t>
            </w:r>
            <w:r w:rsidRPr="00066BCC">
              <w:rPr>
                <w:rFonts w:ascii="Times New Roman" w:hAnsi="Times New Roman"/>
                <w:iCs/>
                <w:spacing w:val="-3"/>
                <w:sz w:val="20"/>
                <w:szCs w:val="18"/>
                <w:lang w:val="hr-HR"/>
              </w:rPr>
              <w:t xml:space="preserve"> geo sequestration, underground storage system). A guide to writing a report.</w:t>
            </w:r>
          </w:p>
        </w:tc>
      </w:tr>
      <w:tr w:rsidR="00327BC7" w:rsidRPr="009F23EB" w14:paraId="03F02E0A"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C07935F" w14:textId="77777777" w:rsidR="00327BC7" w:rsidRPr="009F23EB" w:rsidRDefault="00327BC7" w:rsidP="004A7095">
            <w:pPr>
              <w:jc w:val="center"/>
              <w:rPr>
                <w:b/>
                <w:sz w:val="20"/>
                <w:szCs w:val="20"/>
                <w:lang w:val="hr-BA"/>
              </w:rPr>
            </w:pPr>
            <w:r>
              <w:rPr>
                <w:b/>
                <w:sz w:val="20"/>
                <w:szCs w:val="20"/>
              </w:rPr>
              <w:t>Teaching / learning methods</w:t>
            </w:r>
          </w:p>
        </w:tc>
        <w:tc>
          <w:tcPr>
            <w:tcW w:w="6974" w:type="dxa"/>
            <w:gridSpan w:val="4"/>
            <w:tcBorders>
              <w:left w:val="double" w:sz="4" w:space="0" w:color="auto"/>
            </w:tcBorders>
            <w:vAlign w:val="center"/>
          </w:tcPr>
          <w:p w14:paraId="6D4BBBB5" w14:textId="77777777" w:rsidR="00066BCC" w:rsidRPr="00066BCC" w:rsidRDefault="00066BCC" w:rsidP="00066BCC">
            <w:pPr>
              <w:pStyle w:val="Tijeloteksta"/>
              <w:rPr>
                <w:rFonts w:ascii="Times New Roman" w:hAnsi="Times New Roman"/>
                <w:spacing w:val="-3"/>
                <w:sz w:val="20"/>
                <w:szCs w:val="18"/>
                <w:lang w:val="hr-HR" w:eastAsia="hr-HR"/>
              </w:rPr>
            </w:pPr>
            <w:r w:rsidRPr="00066BCC">
              <w:rPr>
                <w:rFonts w:ascii="Times New Roman" w:hAnsi="Times New Roman"/>
                <w:spacing w:val="-3"/>
                <w:sz w:val="20"/>
                <w:szCs w:val="18"/>
                <w:lang w:val="hr-HR" w:eastAsia="hr-HR"/>
              </w:rPr>
              <w:t>Lectures</w:t>
            </w:r>
          </w:p>
          <w:p w14:paraId="3521FB25" w14:textId="77777777" w:rsidR="00066BCC" w:rsidRDefault="00066BCC" w:rsidP="00066BCC">
            <w:pPr>
              <w:pStyle w:val="Tijeloteksta"/>
              <w:spacing w:after="60"/>
              <w:jc w:val="left"/>
              <w:rPr>
                <w:rFonts w:ascii="Times New Roman" w:hAnsi="Times New Roman"/>
                <w:spacing w:val="-3"/>
                <w:sz w:val="20"/>
                <w:szCs w:val="18"/>
                <w:lang w:val="hr-HR" w:eastAsia="hr-HR"/>
              </w:rPr>
            </w:pPr>
            <w:r w:rsidRPr="00066BCC">
              <w:rPr>
                <w:rFonts w:ascii="Times New Roman" w:hAnsi="Times New Roman"/>
                <w:spacing w:val="-3"/>
                <w:sz w:val="20"/>
                <w:szCs w:val="18"/>
                <w:lang w:val="hr-HR" w:eastAsia="hr-HR"/>
              </w:rPr>
              <w:t xml:space="preserve">Auditory and laboratory exercises </w:t>
            </w:r>
          </w:p>
          <w:p w14:paraId="5F52BB81" w14:textId="2A205322" w:rsidR="00327BC7" w:rsidRPr="009F23EB" w:rsidRDefault="00066BCC" w:rsidP="00066BCC">
            <w:pPr>
              <w:pStyle w:val="Tijeloteksta"/>
              <w:spacing w:after="60"/>
              <w:jc w:val="left"/>
              <w:rPr>
                <w:rFonts w:ascii="Times New Roman" w:hAnsi="Times New Roman"/>
                <w:i/>
                <w:spacing w:val="-3"/>
                <w:sz w:val="20"/>
                <w:szCs w:val="18"/>
                <w:lang w:val="hr-BA"/>
              </w:rPr>
            </w:pPr>
            <w:r w:rsidRPr="00066BCC">
              <w:rPr>
                <w:rFonts w:ascii="Times New Roman" w:hAnsi="Times New Roman"/>
                <w:spacing w:val="-3"/>
                <w:sz w:val="20"/>
                <w:szCs w:val="18"/>
                <w:lang w:val="hr-HR" w:eastAsia="hr-HR"/>
              </w:rPr>
              <w:t>Program/seminar</w:t>
            </w:r>
          </w:p>
        </w:tc>
      </w:tr>
      <w:tr w:rsidR="00327BC7" w:rsidRPr="009F23EB" w14:paraId="7EA6B911"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5F266A68" w14:textId="77777777" w:rsidR="00327BC7" w:rsidRPr="009F23EB" w:rsidRDefault="00327BC7" w:rsidP="004A7095">
            <w:pPr>
              <w:jc w:val="center"/>
              <w:rPr>
                <w:b/>
                <w:sz w:val="20"/>
                <w:szCs w:val="20"/>
                <w:lang w:val="hr-BA"/>
              </w:rPr>
            </w:pPr>
            <w:r w:rsidRPr="0033002E">
              <w:rPr>
                <w:rStyle w:val="hps"/>
                <w:b/>
                <w:sz w:val="20"/>
              </w:rPr>
              <w:t>Examination method and</w:t>
            </w:r>
            <w:r>
              <w:rPr>
                <w:rStyle w:val="hps"/>
                <w:b/>
                <w:sz w:val="20"/>
              </w:rPr>
              <w:t xml:space="preserve"> the weight factor assessment %</w:t>
            </w:r>
          </w:p>
        </w:tc>
        <w:tc>
          <w:tcPr>
            <w:tcW w:w="6974" w:type="dxa"/>
            <w:gridSpan w:val="4"/>
            <w:tcBorders>
              <w:left w:val="double" w:sz="4" w:space="0" w:color="auto"/>
            </w:tcBorders>
            <w:vAlign w:val="center"/>
          </w:tcPr>
          <w:p w14:paraId="6D47811A" w14:textId="611B2E3D" w:rsidR="009D3885" w:rsidRPr="009D3885" w:rsidRDefault="009D3885" w:rsidP="009D3885">
            <w:pPr>
              <w:autoSpaceDE w:val="0"/>
              <w:autoSpaceDN w:val="0"/>
              <w:adjustRightInd w:val="0"/>
              <w:spacing w:before="0" w:after="0"/>
              <w:rPr>
                <w:sz w:val="20"/>
                <w:szCs w:val="20"/>
              </w:rPr>
            </w:pPr>
            <w:r w:rsidRPr="009D3885">
              <w:rPr>
                <w:sz w:val="20"/>
                <w:szCs w:val="20"/>
              </w:rPr>
              <w:t>I Colloquium – 20 points – 20%</w:t>
            </w:r>
          </w:p>
          <w:p w14:paraId="6B30B4EF" w14:textId="25400D5B" w:rsidR="009D3885" w:rsidRPr="009D3885" w:rsidRDefault="009D3885" w:rsidP="009D3885">
            <w:pPr>
              <w:autoSpaceDE w:val="0"/>
              <w:autoSpaceDN w:val="0"/>
              <w:adjustRightInd w:val="0"/>
              <w:spacing w:before="0" w:after="0"/>
              <w:rPr>
                <w:sz w:val="20"/>
                <w:szCs w:val="20"/>
              </w:rPr>
            </w:pPr>
            <w:r w:rsidRPr="009D3885">
              <w:rPr>
                <w:sz w:val="20"/>
                <w:szCs w:val="20"/>
              </w:rPr>
              <w:t>II Colloquium – 20 points – 20%</w:t>
            </w:r>
          </w:p>
          <w:p w14:paraId="469A23A5" w14:textId="77777777" w:rsidR="009D3885" w:rsidRPr="009D3885" w:rsidRDefault="009D3885" w:rsidP="009D3885">
            <w:pPr>
              <w:autoSpaceDE w:val="0"/>
              <w:autoSpaceDN w:val="0"/>
              <w:adjustRightInd w:val="0"/>
              <w:spacing w:before="0" w:after="0"/>
              <w:rPr>
                <w:sz w:val="20"/>
                <w:szCs w:val="20"/>
              </w:rPr>
            </w:pPr>
            <w:r w:rsidRPr="009D3885">
              <w:rPr>
                <w:sz w:val="20"/>
                <w:szCs w:val="20"/>
              </w:rPr>
              <w:t>Seminar Paper – 20 points – 20%</w:t>
            </w:r>
          </w:p>
          <w:p w14:paraId="22563D4C" w14:textId="77777777" w:rsidR="009D3885" w:rsidRPr="009D3885" w:rsidRDefault="009D3885" w:rsidP="009D3885">
            <w:pPr>
              <w:autoSpaceDE w:val="0"/>
              <w:autoSpaceDN w:val="0"/>
              <w:adjustRightInd w:val="0"/>
              <w:spacing w:before="0" w:after="0"/>
              <w:rPr>
                <w:sz w:val="20"/>
                <w:szCs w:val="20"/>
              </w:rPr>
            </w:pPr>
            <w:r w:rsidRPr="009D3885">
              <w:rPr>
                <w:sz w:val="20"/>
                <w:szCs w:val="20"/>
              </w:rPr>
              <w:t>Final Exam – 35 points – 35%</w:t>
            </w:r>
          </w:p>
          <w:p w14:paraId="6F1473AD" w14:textId="617A439B" w:rsidR="00327BC7" w:rsidRPr="009F23EB" w:rsidRDefault="009D3885" w:rsidP="009D3885">
            <w:pPr>
              <w:autoSpaceDE w:val="0"/>
              <w:autoSpaceDN w:val="0"/>
              <w:adjustRightInd w:val="0"/>
              <w:spacing w:before="0" w:after="0" w:line="240" w:lineRule="auto"/>
              <w:rPr>
                <w:sz w:val="20"/>
                <w:szCs w:val="20"/>
                <w:lang w:val="hr-BA"/>
              </w:rPr>
            </w:pPr>
            <w:r w:rsidRPr="009D3885">
              <w:rPr>
                <w:sz w:val="20"/>
                <w:szCs w:val="20"/>
              </w:rPr>
              <w:t>Class Attendance – 5 points – 5%</w:t>
            </w:r>
          </w:p>
        </w:tc>
      </w:tr>
      <w:tr w:rsidR="00327BC7" w:rsidRPr="009F23EB" w14:paraId="3101D50C"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5D16BFE1" w14:textId="77777777" w:rsidR="00327BC7" w:rsidRPr="009F23EB" w:rsidRDefault="00327BC7" w:rsidP="004A7095">
            <w:pPr>
              <w:jc w:val="center"/>
              <w:rPr>
                <w:b/>
                <w:sz w:val="20"/>
                <w:szCs w:val="20"/>
                <w:lang w:val="hr-BA"/>
              </w:rPr>
            </w:pPr>
            <w:r w:rsidRPr="0033002E">
              <w:rPr>
                <w:rStyle w:val="hps"/>
                <w:b/>
                <w:sz w:val="20"/>
              </w:rPr>
              <w:t>List of basic literature and</w:t>
            </w:r>
            <w:r w:rsidRPr="0033002E">
              <w:rPr>
                <w:b/>
                <w:sz w:val="20"/>
                <w:szCs w:val="20"/>
                <w:lang w:val="en-US"/>
              </w:rPr>
              <w:br/>
            </w:r>
            <w:r w:rsidRPr="0033002E">
              <w:rPr>
                <w:rStyle w:val="hps"/>
                <w:b/>
                <w:sz w:val="20"/>
              </w:rPr>
              <w:t>Internet</w:t>
            </w:r>
            <w:r>
              <w:rPr>
                <w:rStyle w:val="hps"/>
                <w:b/>
                <w:sz w:val="20"/>
              </w:rPr>
              <w:t xml:space="preserve"> </w:t>
            </w:r>
            <w:r w:rsidRPr="0033002E">
              <w:rPr>
                <w:rStyle w:val="hps"/>
                <w:b/>
                <w:sz w:val="20"/>
              </w:rPr>
              <w:t>web</w:t>
            </w:r>
            <w:r>
              <w:rPr>
                <w:rStyle w:val="hps"/>
                <w:b/>
                <w:sz w:val="20"/>
              </w:rPr>
              <w:t xml:space="preserve"> references</w:t>
            </w:r>
          </w:p>
        </w:tc>
        <w:tc>
          <w:tcPr>
            <w:tcW w:w="6974" w:type="dxa"/>
            <w:gridSpan w:val="4"/>
            <w:tcBorders>
              <w:left w:val="double" w:sz="4" w:space="0" w:color="auto"/>
            </w:tcBorders>
            <w:vAlign w:val="center"/>
          </w:tcPr>
          <w:p w14:paraId="4CCBFA92" w14:textId="77777777" w:rsidR="00327BC7" w:rsidRPr="008628FB" w:rsidRDefault="00327BC7" w:rsidP="004A7095">
            <w:pPr>
              <w:tabs>
                <w:tab w:val="center" w:pos="8505"/>
              </w:tabs>
              <w:rPr>
                <w:spacing w:val="-3"/>
                <w:sz w:val="20"/>
                <w:szCs w:val="20"/>
                <w:lang w:val="hr-BA"/>
              </w:rPr>
            </w:pPr>
            <w:r>
              <w:rPr>
                <w:spacing w:val="-3"/>
                <w:sz w:val="20"/>
                <w:szCs w:val="18"/>
                <w:lang w:val="hr-BA"/>
              </w:rPr>
              <w:t>1</w:t>
            </w:r>
            <w:r w:rsidRPr="008628FB">
              <w:rPr>
                <w:spacing w:val="-3"/>
                <w:sz w:val="20"/>
                <w:szCs w:val="20"/>
                <w:lang w:val="hr-BA"/>
              </w:rPr>
              <w:t>. Kreith,F. &amp; Goswami</w:t>
            </w:r>
            <w:r w:rsidRPr="008628FB">
              <w:rPr>
                <w:i/>
                <w:spacing w:val="-3"/>
                <w:sz w:val="20"/>
                <w:szCs w:val="20"/>
                <w:lang w:val="hr-BA"/>
              </w:rPr>
              <w:t>: „Handbook of Energy Efficiency and Renewable Energy“</w:t>
            </w:r>
            <w:r w:rsidRPr="008628FB">
              <w:rPr>
                <w:spacing w:val="-3"/>
                <w:sz w:val="20"/>
                <w:szCs w:val="20"/>
                <w:lang w:val="hr-BA"/>
              </w:rPr>
              <w:t>, CRC Press, Taylor &amp; Francis Group, 2007.</w:t>
            </w:r>
          </w:p>
          <w:p w14:paraId="48589917" w14:textId="77777777" w:rsidR="00327BC7" w:rsidRPr="008628FB" w:rsidRDefault="00327BC7" w:rsidP="004A7095">
            <w:pPr>
              <w:tabs>
                <w:tab w:val="center" w:pos="8505"/>
              </w:tabs>
              <w:rPr>
                <w:spacing w:val="-3"/>
                <w:sz w:val="20"/>
                <w:szCs w:val="20"/>
                <w:lang w:val="hr-BA"/>
              </w:rPr>
            </w:pPr>
            <w:r w:rsidRPr="008628FB">
              <w:rPr>
                <w:spacing w:val="-3"/>
                <w:sz w:val="20"/>
                <w:szCs w:val="20"/>
                <w:lang w:val="hr-BA"/>
              </w:rPr>
              <w:t xml:space="preserve">2. Vaughn, N.: </w:t>
            </w:r>
            <w:r w:rsidRPr="008628FB">
              <w:rPr>
                <w:i/>
                <w:spacing w:val="-3"/>
                <w:sz w:val="20"/>
                <w:szCs w:val="20"/>
                <w:lang w:val="hr-BA"/>
              </w:rPr>
              <w:t>„Introduction to Renewable Energy“</w:t>
            </w:r>
            <w:r w:rsidRPr="008628FB">
              <w:rPr>
                <w:spacing w:val="-3"/>
                <w:sz w:val="20"/>
                <w:szCs w:val="20"/>
                <w:lang w:val="hr-BA"/>
              </w:rPr>
              <w:t>, CRC Press, Taylor &amp; Francis Group, 2011.</w:t>
            </w:r>
          </w:p>
          <w:p w14:paraId="09F5F055" w14:textId="77777777" w:rsidR="00327BC7" w:rsidRDefault="00327BC7" w:rsidP="004A7095">
            <w:pPr>
              <w:tabs>
                <w:tab w:val="center" w:pos="8505"/>
              </w:tabs>
              <w:rPr>
                <w:sz w:val="20"/>
                <w:szCs w:val="20"/>
                <w:lang w:val="en-US" w:eastAsia="en-US"/>
              </w:rPr>
            </w:pPr>
            <w:r w:rsidRPr="008628FB">
              <w:rPr>
                <w:spacing w:val="-3"/>
                <w:sz w:val="20"/>
                <w:szCs w:val="20"/>
                <w:lang w:val="hr-BA"/>
              </w:rPr>
              <w:t xml:space="preserve">3. </w:t>
            </w:r>
            <w:proofErr w:type="spellStart"/>
            <w:r w:rsidRPr="008628FB">
              <w:rPr>
                <w:sz w:val="20"/>
                <w:szCs w:val="20"/>
                <w:lang w:val="en-US" w:eastAsia="en-US"/>
              </w:rPr>
              <w:t>Jeanloz</w:t>
            </w:r>
            <w:proofErr w:type="spellEnd"/>
            <w:r w:rsidRPr="008628FB">
              <w:rPr>
                <w:sz w:val="20"/>
                <w:szCs w:val="20"/>
                <w:lang w:val="en-US" w:eastAsia="en-US"/>
              </w:rPr>
              <w:t>, R &amp; Stone, H</w:t>
            </w:r>
            <w:proofErr w:type="gramStart"/>
            <w:r w:rsidRPr="008628FB">
              <w:rPr>
                <w:sz w:val="20"/>
                <w:szCs w:val="20"/>
                <w:lang w:val="en-US" w:eastAsia="en-US"/>
              </w:rPr>
              <w:t>:</w:t>
            </w:r>
            <w:r w:rsidRPr="008628FB">
              <w:rPr>
                <w:i/>
                <w:sz w:val="20"/>
                <w:szCs w:val="20"/>
                <w:lang w:val="en-US" w:eastAsia="en-US"/>
              </w:rPr>
              <w:t>”Enhanced</w:t>
            </w:r>
            <w:proofErr w:type="gramEnd"/>
            <w:r w:rsidRPr="008628FB">
              <w:rPr>
                <w:i/>
                <w:sz w:val="20"/>
                <w:szCs w:val="20"/>
                <w:lang w:val="en-US" w:eastAsia="en-US"/>
              </w:rPr>
              <w:t xml:space="preserve"> Geothermal Systems”</w:t>
            </w:r>
            <w:r>
              <w:rPr>
                <w:sz w:val="20"/>
                <w:szCs w:val="20"/>
                <w:lang w:val="en-US" w:eastAsia="en-US"/>
              </w:rPr>
              <w:t xml:space="preserve">, </w:t>
            </w:r>
            <w:r w:rsidRPr="008628FB">
              <w:rPr>
                <w:sz w:val="20"/>
                <w:szCs w:val="20"/>
                <w:lang w:val="en-US" w:eastAsia="en-US"/>
              </w:rPr>
              <w:t>US Department of Energy</w:t>
            </w:r>
            <w:r>
              <w:rPr>
                <w:sz w:val="20"/>
                <w:szCs w:val="20"/>
                <w:lang w:val="en-US" w:eastAsia="en-US"/>
              </w:rPr>
              <w:t xml:space="preserve">, </w:t>
            </w:r>
            <w:r w:rsidRPr="008628FB">
              <w:rPr>
                <w:sz w:val="20"/>
                <w:szCs w:val="20"/>
                <w:lang w:val="en-US" w:eastAsia="en-US"/>
              </w:rPr>
              <w:t>Energy Efficiency and Renewable Energy</w:t>
            </w:r>
            <w:r>
              <w:rPr>
                <w:sz w:val="20"/>
                <w:szCs w:val="20"/>
                <w:lang w:val="en-US" w:eastAsia="en-US"/>
              </w:rPr>
              <w:t xml:space="preserve">, </w:t>
            </w:r>
            <w:r w:rsidRPr="008628FB">
              <w:rPr>
                <w:sz w:val="20"/>
                <w:szCs w:val="20"/>
                <w:lang w:val="en-US" w:eastAsia="en-US"/>
              </w:rPr>
              <w:t>1000 Independence Ave, SW Washington, DC 20585</w:t>
            </w:r>
            <w:r>
              <w:rPr>
                <w:sz w:val="20"/>
                <w:szCs w:val="20"/>
                <w:lang w:val="en-US" w:eastAsia="en-US"/>
              </w:rPr>
              <w:t>, 2013.</w:t>
            </w:r>
          </w:p>
          <w:p w14:paraId="3B11B2B6" w14:textId="77777777" w:rsidR="00327BC7" w:rsidRPr="000E36C5" w:rsidRDefault="00327BC7" w:rsidP="004A7095">
            <w:pPr>
              <w:tabs>
                <w:tab w:val="center" w:pos="8505"/>
              </w:tabs>
              <w:rPr>
                <w:sz w:val="20"/>
                <w:szCs w:val="20"/>
                <w:lang w:val="en-US" w:eastAsia="en-US"/>
              </w:rPr>
            </w:pPr>
            <w:r>
              <w:rPr>
                <w:sz w:val="20"/>
                <w:szCs w:val="20"/>
                <w:lang w:val="en-US" w:eastAsia="en-US"/>
              </w:rPr>
              <w:lastRenderedPageBreak/>
              <w:t xml:space="preserve">4. </w:t>
            </w:r>
            <w:r>
              <w:rPr>
                <w:i/>
                <w:sz w:val="20"/>
                <w:szCs w:val="20"/>
                <w:lang w:val="en-US" w:eastAsia="en-US"/>
              </w:rPr>
              <w:t>“</w:t>
            </w:r>
            <w:r w:rsidRPr="008628FB">
              <w:rPr>
                <w:i/>
                <w:sz w:val="20"/>
                <w:szCs w:val="20"/>
                <w:lang w:val="en-US" w:eastAsia="en-US"/>
              </w:rPr>
              <w:t>The Future of Geothermal Energy</w:t>
            </w:r>
            <w:r>
              <w:rPr>
                <w:i/>
                <w:sz w:val="20"/>
                <w:szCs w:val="20"/>
                <w:lang w:val="en-US" w:eastAsia="en-US"/>
              </w:rPr>
              <w:t>”</w:t>
            </w:r>
            <w:r>
              <w:rPr>
                <w:sz w:val="20"/>
                <w:szCs w:val="20"/>
                <w:lang w:val="en-US" w:eastAsia="en-US"/>
              </w:rPr>
              <w:t xml:space="preserve">, </w:t>
            </w:r>
            <w:r w:rsidRPr="008628FB">
              <w:rPr>
                <w:sz w:val="20"/>
                <w:szCs w:val="20"/>
                <w:lang w:val="en-US" w:eastAsia="en-US"/>
              </w:rPr>
              <w:t xml:space="preserve">This report is available on the Internet at: </w:t>
            </w:r>
            <w:hyperlink r:id="rId5" w:history="1">
              <w:r w:rsidRPr="000F56FD">
                <w:rPr>
                  <w:rStyle w:val="Hiperveza"/>
                  <w:sz w:val="20"/>
                  <w:szCs w:val="20"/>
                  <w:lang w:val="en-US" w:eastAsia="en-US"/>
                </w:rPr>
                <w:t>http://geothermal.inel.gov</w:t>
              </w:r>
            </w:hyperlink>
            <w:r>
              <w:rPr>
                <w:sz w:val="20"/>
                <w:szCs w:val="20"/>
                <w:lang w:val="en-US" w:eastAsia="en-US"/>
              </w:rPr>
              <w:t xml:space="preserve"> </w:t>
            </w:r>
            <w:r w:rsidRPr="008628FB">
              <w:rPr>
                <w:sz w:val="20"/>
                <w:szCs w:val="20"/>
                <w:lang w:val="en-US" w:eastAsia="en-US"/>
              </w:rPr>
              <w:t xml:space="preserve"> and </w:t>
            </w:r>
            <w:hyperlink r:id="rId6" w:history="1">
              <w:r w:rsidRPr="000F56FD">
                <w:rPr>
                  <w:rStyle w:val="Hiperveza"/>
                  <w:sz w:val="20"/>
                  <w:szCs w:val="20"/>
                  <w:lang w:val="en-US" w:eastAsia="en-US"/>
                </w:rPr>
                <w:t>http://www1.eere.energy.gov/geothermal/egs_technology.html</w:t>
              </w:r>
            </w:hyperlink>
          </w:p>
        </w:tc>
      </w:tr>
      <w:tr w:rsidR="00327BC7" w:rsidRPr="009F23EB" w14:paraId="0A0AF366" w14:textId="77777777" w:rsidTr="004A7095">
        <w:tc>
          <w:tcPr>
            <w:tcW w:w="3313" w:type="dxa"/>
            <w:tcBorders>
              <w:top w:val="single" w:sz="4" w:space="0" w:color="auto"/>
              <w:bottom w:val="double" w:sz="4" w:space="0" w:color="auto"/>
              <w:right w:val="double" w:sz="4" w:space="0" w:color="auto"/>
            </w:tcBorders>
            <w:shd w:val="clear" w:color="auto" w:fill="CCCCCC"/>
            <w:vAlign w:val="center"/>
          </w:tcPr>
          <w:p w14:paraId="2E56FA89" w14:textId="77777777" w:rsidR="00327BC7" w:rsidRPr="009F23EB" w:rsidRDefault="00327BC7" w:rsidP="004A7095">
            <w:pPr>
              <w:jc w:val="center"/>
              <w:rPr>
                <w:b/>
                <w:sz w:val="20"/>
                <w:szCs w:val="20"/>
                <w:lang w:val="hr-BA"/>
              </w:rPr>
            </w:pPr>
            <w:r w:rsidRPr="0033002E">
              <w:rPr>
                <w:rStyle w:val="hps"/>
                <w:b/>
                <w:sz w:val="20"/>
              </w:rPr>
              <w:lastRenderedPageBreak/>
              <w:t>Monitoring of  quality</w:t>
            </w:r>
            <w:r w:rsidRPr="0033002E">
              <w:rPr>
                <w:rStyle w:val="shorttext"/>
                <w:b/>
                <w:sz w:val="20"/>
                <w:szCs w:val="20"/>
                <w:lang w:val="en-US"/>
              </w:rPr>
              <w:t xml:space="preserve"> and </w:t>
            </w:r>
            <w:r w:rsidRPr="0033002E">
              <w:rPr>
                <w:rStyle w:val="hps"/>
                <w:b/>
                <w:sz w:val="20"/>
              </w:rPr>
              <w:t>efficiency of modul performing</w:t>
            </w:r>
          </w:p>
        </w:tc>
        <w:tc>
          <w:tcPr>
            <w:tcW w:w="6974" w:type="dxa"/>
            <w:gridSpan w:val="4"/>
            <w:tcBorders>
              <w:left w:val="double" w:sz="4" w:space="0" w:color="auto"/>
            </w:tcBorders>
            <w:vAlign w:val="center"/>
          </w:tcPr>
          <w:p w14:paraId="59D6370E" w14:textId="77777777" w:rsidR="00327BC7" w:rsidRPr="009F23EB" w:rsidRDefault="00327BC7" w:rsidP="004A7095">
            <w:pPr>
              <w:jc w:val="center"/>
              <w:rPr>
                <w:sz w:val="20"/>
                <w:szCs w:val="20"/>
                <w:lang w:val="hr-BA"/>
              </w:rPr>
            </w:pPr>
            <w:r w:rsidRPr="00560B6C">
              <w:rPr>
                <w:sz w:val="20"/>
                <w:szCs w:val="20"/>
              </w:rPr>
              <w:t xml:space="preserve">An anonymous survey among students on the </w:t>
            </w:r>
            <w:r w:rsidRPr="0033002E">
              <w:rPr>
                <w:sz w:val="20"/>
                <w:szCs w:val="20"/>
                <w:lang w:val="en-US" w:eastAsia="bs-Latn-BA"/>
              </w:rPr>
              <w:t>the success of teaching.</w:t>
            </w:r>
          </w:p>
        </w:tc>
      </w:tr>
    </w:tbl>
    <w:p w14:paraId="61284554" w14:textId="77777777" w:rsidR="000F5913" w:rsidRDefault="000F5913"/>
    <w:sectPr w:rsidR="000F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4D Gothic">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2AFB"/>
    <w:multiLevelType w:val="hybridMultilevel"/>
    <w:tmpl w:val="49ACCF88"/>
    <w:lvl w:ilvl="0" w:tplc="3B6886DE">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F938A2"/>
    <w:multiLevelType w:val="hybridMultilevel"/>
    <w:tmpl w:val="9F2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D3202"/>
    <w:multiLevelType w:val="hybridMultilevel"/>
    <w:tmpl w:val="4E6C1BA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A10E6"/>
    <w:multiLevelType w:val="hybridMultilevel"/>
    <w:tmpl w:val="67DA8B2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C41DB"/>
    <w:multiLevelType w:val="hybridMultilevel"/>
    <w:tmpl w:val="D7F0ADFA"/>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2" w:hanging="360"/>
      </w:pPr>
      <w:rPr>
        <w:rFonts w:ascii="Courier New" w:hAnsi="Courier New" w:cs="Courier New" w:hint="default"/>
      </w:rPr>
    </w:lvl>
    <w:lvl w:ilvl="2" w:tplc="04090005" w:tentative="1">
      <w:start w:val="1"/>
      <w:numFmt w:val="bullet"/>
      <w:lvlText w:val=""/>
      <w:lvlJc w:val="left"/>
      <w:pPr>
        <w:ind w:left="732" w:hanging="360"/>
      </w:pPr>
      <w:rPr>
        <w:rFonts w:ascii="Wingdings" w:hAnsi="Wingdings" w:hint="default"/>
      </w:rPr>
    </w:lvl>
    <w:lvl w:ilvl="3" w:tplc="04090001" w:tentative="1">
      <w:start w:val="1"/>
      <w:numFmt w:val="bullet"/>
      <w:lvlText w:val=""/>
      <w:lvlJc w:val="left"/>
      <w:pPr>
        <w:ind w:left="1452" w:hanging="360"/>
      </w:pPr>
      <w:rPr>
        <w:rFonts w:ascii="Symbol" w:hAnsi="Symbol" w:hint="default"/>
      </w:rPr>
    </w:lvl>
    <w:lvl w:ilvl="4" w:tplc="04090003" w:tentative="1">
      <w:start w:val="1"/>
      <w:numFmt w:val="bullet"/>
      <w:lvlText w:val="o"/>
      <w:lvlJc w:val="left"/>
      <w:pPr>
        <w:ind w:left="2172" w:hanging="360"/>
      </w:pPr>
      <w:rPr>
        <w:rFonts w:ascii="Courier New" w:hAnsi="Courier New" w:cs="Courier New" w:hint="default"/>
      </w:rPr>
    </w:lvl>
    <w:lvl w:ilvl="5" w:tplc="04090005" w:tentative="1">
      <w:start w:val="1"/>
      <w:numFmt w:val="bullet"/>
      <w:lvlText w:val=""/>
      <w:lvlJc w:val="left"/>
      <w:pPr>
        <w:ind w:left="2892" w:hanging="360"/>
      </w:pPr>
      <w:rPr>
        <w:rFonts w:ascii="Wingdings" w:hAnsi="Wingdings" w:hint="default"/>
      </w:rPr>
    </w:lvl>
    <w:lvl w:ilvl="6" w:tplc="04090001" w:tentative="1">
      <w:start w:val="1"/>
      <w:numFmt w:val="bullet"/>
      <w:lvlText w:val=""/>
      <w:lvlJc w:val="left"/>
      <w:pPr>
        <w:ind w:left="3612" w:hanging="360"/>
      </w:pPr>
      <w:rPr>
        <w:rFonts w:ascii="Symbol" w:hAnsi="Symbol" w:hint="default"/>
      </w:rPr>
    </w:lvl>
    <w:lvl w:ilvl="7" w:tplc="04090003" w:tentative="1">
      <w:start w:val="1"/>
      <w:numFmt w:val="bullet"/>
      <w:lvlText w:val="o"/>
      <w:lvlJc w:val="left"/>
      <w:pPr>
        <w:ind w:left="4332" w:hanging="360"/>
      </w:pPr>
      <w:rPr>
        <w:rFonts w:ascii="Courier New" w:hAnsi="Courier New" w:cs="Courier New" w:hint="default"/>
      </w:rPr>
    </w:lvl>
    <w:lvl w:ilvl="8" w:tplc="04090005" w:tentative="1">
      <w:start w:val="1"/>
      <w:numFmt w:val="bullet"/>
      <w:lvlText w:val=""/>
      <w:lvlJc w:val="left"/>
      <w:pPr>
        <w:ind w:left="5052" w:hanging="360"/>
      </w:pPr>
      <w:rPr>
        <w:rFonts w:ascii="Wingdings" w:hAnsi="Wingdings" w:hint="default"/>
      </w:rPr>
    </w:lvl>
  </w:abstractNum>
  <w:abstractNum w:abstractNumId="5" w15:restartNumberingAfterBreak="0">
    <w:nsid w:val="6FCC33E9"/>
    <w:multiLevelType w:val="hybridMultilevel"/>
    <w:tmpl w:val="BB007F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074903">
    <w:abstractNumId w:val="4"/>
  </w:num>
  <w:num w:numId="2" w16cid:durableId="351615538">
    <w:abstractNumId w:val="0"/>
  </w:num>
  <w:num w:numId="3" w16cid:durableId="1025591573">
    <w:abstractNumId w:val="1"/>
  </w:num>
  <w:num w:numId="4" w16cid:durableId="8873983">
    <w:abstractNumId w:val="3"/>
  </w:num>
  <w:num w:numId="5" w16cid:durableId="78797017">
    <w:abstractNumId w:val="5"/>
  </w:num>
  <w:num w:numId="6" w16cid:durableId="1923174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C7"/>
    <w:rsid w:val="00055DBF"/>
    <w:rsid w:val="00066BCC"/>
    <w:rsid w:val="000F5913"/>
    <w:rsid w:val="002444FB"/>
    <w:rsid w:val="00327BC7"/>
    <w:rsid w:val="005676FB"/>
    <w:rsid w:val="009D3885"/>
    <w:rsid w:val="00F30D5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5220"/>
  <w15:chartTrackingRefBased/>
  <w15:docId w15:val="{360CDDB2-C5E8-46BF-90FE-ACE19372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327BC7"/>
    <w:pPr>
      <w:spacing w:before="60" w:after="60" w:line="300" w:lineRule="auto"/>
    </w:pPr>
    <w:rPr>
      <w:rFonts w:ascii="Times New Roman" w:eastAsia="Times New Roman" w:hAnsi="Times New Roman" w:cs="Times New Roman"/>
      <w:sz w:val="24"/>
      <w:szCs w:val="24"/>
      <w:lang w:val="hr-HR" w:eastAsia="hr-HR"/>
    </w:rPr>
  </w:style>
  <w:style w:type="paragraph" w:styleId="Naslov1">
    <w:name w:val="heading 1"/>
    <w:basedOn w:val="Normalno"/>
    <w:next w:val="Normalno"/>
    <w:link w:val="Naslov1Znak"/>
    <w:qFormat/>
    <w:rsid w:val="00327BC7"/>
    <w:pPr>
      <w:keepNext/>
      <w:spacing w:before="240"/>
      <w:outlineLvl w:val="0"/>
    </w:pPr>
    <w:rPr>
      <w:rFonts w:ascii="Arial" w:hAnsi="Arial" w:cs="Arial"/>
      <w:b/>
      <w:bCs/>
      <w:kern w:val="32"/>
      <w:sz w:val="32"/>
      <w:szCs w:val="32"/>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rsid w:val="00327BC7"/>
    <w:rPr>
      <w:rFonts w:ascii="Arial" w:eastAsia="Times New Roman" w:hAnsi="Arial" w:cs="Arial"/>
      <w:b/>
      <w:bCs/>
      <w:kern w:val="32"/>
      <w:sz w:val="32"/>
      <w:szCs w:val="32"/>
      <w:lang w:val="hr-HR" w:eastAsia="hr-HR"/>
    </w:rPr>
  </w:style>
  <w:style w:type="character" w:customStyle="1" w:styleId="shorttext">
    <w:name w:val="short_text"/>
    <w:basedOn w:val="Zadanifontparagrafa"/>
    <w:rsid w:val="00327BC7"/>
  </w:style>
  <w:style w:type="character" w:customStyle="1" w:styleId="hps">
    <w:name w:val="hps"/>
    <w:basedOn w:val="Zadanifontparagrafa"/>
    <w:rsid w:val="00327BC7"/>
  </w:style>
  <w:style w:type="character" w:styleId="Hiperveza">
    <w:name w:val="Hyperlink"/>
    <w:basedOn w:val="Zadanifontparagrafa"/>
    <w:uiPriority w:val="99"/>
    <w:unhideWhenUsed/>
    <w:rsid w:val="00327BC7"/>
    <w:rPr>
      <w:color w:val="0563C1" w:themeColor="hyperlink"/>
      <w:u w:val="single"/>
    </w:rPr>
  </w:style>
  <w:style w:type="paragraph" w:styleId="Tijeloteksta">
    <w:name w:val="Body Text"/>
    <w:aliases w:val="  uvlaka 2, uvlaka 3,uvlaka 2,uvlaka 3"/>
    <w:basedOn w:val="Normalno"/>
    <w:link w:val="TijelotekstaZnak"/>
    <w:rsid w:val="00327BC7"/>
    <w:pPr>
      <w:spacing w:before="0" w:after="0" w:line="240" w:lineRule="auto"/>
      <w:jc w:val="both"/>
    </w:pPr>
    <w:rPr>
      <w:rFonts w:ascii="4D Gothic" w:hAnsi="4D Gothic"/>
      <w:szCs w:val="20"/>
      <w:lang w:val="en-US" w:eastAsia="en-US"/>
    </w:rPr>
  </w:style>
  <w:style w:type="character" w:customStyle="1" w:styleId="TijelotekstaZnak">
    <w:name w:val="Tijelo teksta Znak"/>
    <w:aliases w:val="  uvlaka 2 Znak, uvlaka 3 Znak,uvlaka 2 Znak,uvlaka 3 Znak"/>
    <w:basedOn w:val="Zadanifontparagrafa"/>
    <w:link w:val="Tijeloteksta"/>
    <w:rsid w:val="00327BC7"/>
    <w:rPr>
      <w:rFonts w:ascii="4D Gothic" w:eastAsia="Times New Roman" w:hAnsi="4D Gothic"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eere.energy.gov/geothermal/egs_technology.html" TargetMode="External"/><Relationship Id="rId5" Type="http://schemas.openxmlformats.org/officeDocument/2006/relationships/hyperlink" Target="http://geothermal.ine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Merima</dc:creator>
  <cp:keywords/>
  <dc:description/>
  <cp:lastModifiedBy>Damir Špago</cp:lastModifiedBy>
  <cp:revision>6</cp:revision>
  <dcterms:created xsi:type="dcterms:W3CDTF">2024-01-26T09:02:00Z</dcterms:created>
  <dcterms:modified xsi:type="dcterms:W3CDTF">2024-04-05T09:17:00Z</dcterms:modified>
</cp:coreProperties>
</file>