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jc w:val="center"/>
        <w:tblCellMar>
          <w:left w:w="10" w:type="dxa"/>
          <w:right w:w="10" w:type="dxa"/>
        </w:tblCellMar>
        <w:tblLook w:val="04A0" w:firstRow="1" w:lastRow="0" w:firstColumn="1" w:lastColumn="0" w:noHBand="0" w:noVBand="1"/>
      </w:tblPr>
      <w:tblGrid>
        <w:gridCol w:w="3313"/>
        <w:gridCol w:w="2611"/>
        <w:gridCol w:w="1150"/>
        <w:gridCol w:w="1168"/>
        <w:gridCol w:w="2045"/>
      </w:tblGrid>
      <w:tr w:rsidR="006936A8" w:rsidRPr="00B35CFB" w14:paraId="450D3768" w14:textId="77777777" w:rsidTr="00F17D06">
        <w:trPr>
          <w:trHeight w:val="524"/>
          <w:jc w:val="center"/>
        </w:trPr>
        <w:tc>
          <w:tcPr>
            <w:tcW w:w="10287" w:type="dxa"/>
            <w:gridSpan w:val="5"/>
            <w:tcBorders>
              <w:top w:val="double" w:sz="4" w:space="0" w:color="000000"/>
              <w:left w:val="double" w:sz="4" w:space="0" w:color="000000"/>
              <w:bottom w:val="double" w:sz="4" w:space="0" w:color="000000"/>
              <w:right w:val="double" w:sz="4" w:space="0" w:color="000000"/>
            </w:tcBorders>
            <w:shd w:val="clear" w:color="auto" w:fill="CCCCCC"/>
            <w:tcMar>
              <w:top w:w="0" w:type="dxa"/>
              <w:left w:w="108" w:type="dxa"/>
              <w:bottom w:w="0" w:type="dxa"/>
              <w:right w:w="108" w:type="dxa"/>
            </w:tcMar>
            <w:vAlign w:val="center"/>
          </w:tcPr>
          <w:p w14:paraId="6EF87172" w14:textId="77777777" w:rsidR="006936A8" w:rsidRPr="00B35CFB" w:rsidRDefault="006936A8" w:rsidP="00F17D06">
            <w:pPr>
              <w:pStyle w:val="Heading1"/>
              <w:jc w:val="center"/>
              <w:rPr>
                <w:rFonts w:asciiTheme="minorHAnsi" w:hAnsiTheme="minorHAnsi" w:cstheme="minorHAnsi"/>
                <w:bCs w:val="0"/>
                <w:spacing w:val="-3"/>
                <w:sz w:val="24"/>
              </w:rPr>
            </w:pPr>
            <w:r w:rsidRPr="00B35CFB">
              <w:rPr>
                <w:rFonts w:asciiTheme="minorHAnsi" w:hAnsiTheme="minorHAnsi" w:cstheme="minorHAnsi"/>
                <w:bCs w:val="0"/>
                <w:spacing w:val="-3"/>
                <w:sz w:val="24"/>
              </w:rPr>
              <w:t>UNIVERZITET „DŽEMAL BIJEDIĆ“ U MOSTARU</w:t>
            </w:r>
          </w:p>
          <w:p w14:paraId="4C251115" w14:textId="77777777" w:rsidR="006936A8" w:rsidRPr="00B35CFB" w:rsidRDefault="006936A8" w:rsidP="006936A8">
            <w:pPr>
              <w:pStyle w:val="Heading1"/>
              <w:jc w:val="center"/>
              <w:rPr>
                <w:rFonts w:asciiTheme="minorHAnsi" w:hAnsiTheme="minorHAnsi" w:cstheme="minorHAnsi"/>
                <w:bCs w:val="0"/>
                <w:spacing w:val="-3"/>
                <w:sz w:val="22"/>
                <w:lang w:val="pl-PL"/>
              </w:rPr>
            </w:pPr>
            <w:r w:rsidRPr="00B35CFB">
              <w:rPr>
                <w:rFonts w:asciiTheme="minorHAnsi" w:hAnsiTheme="minorHAnsi" w:cstheme="minorHAnsi"/>
                <w:bCs w:val="0"/>
                <w:spacing w:val="-3"/>
                <w:sz w:val="22"/>
                <w:szCs w:val="22"/>
                <w:lang w:val="pl-PL"/>
              </w:rPr>
              <w:t>FAKULTET INFORMACIJSKIH TEHNOLOGIJA</w:t>
            </w:r>
          </w:p>
        </w:tc>
      </w:tr>
      <w:tr w:rsidR="006936A8" w:rsidRPr="00B35CFB" w14:paraId="1FB4B88B" w14:textId="77777777" w:rsidTr="00F17D06">
        <w:trPr>
          <w:trHeight w:val="50"/>
          <w:jc w:val="center"/>
        </w:trPr>
        <w:tc>
          <w:tcPr>
            <w:tcW w:w="3313" w:type="dxa"/>
            <w:tcBorders>
              <w:top w:val="doub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27137663" w14:textId="77777777" w:rsidR="00AF5DF1" w:rsidRPr="00B35CFB" w:rsidRDefault="00000000">
            <w:pPr>
              <w:rPr>
                <w:rFonts w:asciiTheme="minorHAnsi" w:hAnsiTheme="minorHAnsi" w:cstheme="minorHAnsi"/>
              </w:rPr>
            </w:pPr>
            <w:r w:rsidRPr="00B35CFB">
              <w:rPr>
                <w:rFonts w:asciiTheme="minorHAnsi" w:hAnsiTheme="minorHAnsi" w:cstheme="minorHAnsi"/>
              </w:rPr>
              <w:t>Course title:</w:t>
            </w:r>
          </w:p>
        </w:tc>
        <w:tc>
          <w:tcPr>
            <w:tcW w:w="3761" w:type="dxa"/>
            <w:gridSpan w:val="2"/>
            <w:tcBorders>
              <w:top w:val="doub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0B17321" w14:textId="53861BB1" w:rsidR="00AF5DF1" w:rsidRPr="00B35CFB" w:rsidRDefault="00457C39">
            <w:pPr>
              <w:rPr>
                <w:rFonts w:asciiTheme="minorHAnsi" w:hAnsiTheme="minorHAnsi" w:cstheme="minorHAnsi"/>
              </w:rPr>
            </w:pPr>
            <w:r w:rsidRPr="00B35CFB">
              <w:rPr>
                <w:rFonts w:asciiTheme="minorHAnsi" w:hAnsiTheme="minorHAnsi" w:cstheme="minorHAnsi"/>
              </w:rPr>
              <w:t>DESIGN AND DEVELOPMENT OF INTERNET OF THINGS PROJECTS</w:t>
            </w:r>
          </w:p>
        </w:tc>
        <w:tc>
          <w:tcPr>
            <w:tcW w:w="3213"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229A978D" w14:textId="77777777" w:rsidR="00AF5DF1" w:rsidRPr="00B35CFB" w:rsidRDefault="00000000">
            <w:pPr>
              <w:rPr>
                <w:rFonts w:asciiTheme="minorHAnsi" w:hAnsiTheme="minorHAnsi" w:cstheme="minorHAnsi"/>
              </w:rPr>
            </w:pPr>
            <w:r w:rsidRPr="00B35CFB">
              <w:rPr>
                <w:rFonts w:asciiTheme="minorHAnsi" w:hAnsiTheme="minorHAnsi" w:cstheme="minorHAnsi"/>
              </w:rPr>
              <w:t>Course code:</w:t>
            </w:r>
          </w:p>
        </w:tc>
      </w:tr>
      <w:tr w:rsidR="002817CB" w:rsidRPr="00B35CFB" w14:paraId="5B8EEA3F"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73186870" w14:textId="77777777" w:rsidR="002817CB" w:rsidRPr="00B35CFB" w:rsidRDefault="002817CB" w:rsidP="002817CB">
            <w:pPr>
              <w:rPr>
                <w:rFonts w:asciiTheme="minorHAnsi" w:hAnsiTheme="minorHAnsi" w:cstheme="minorHAnsi"/>
              </w:rPr>
            </w:pPr>
            <w:r w:rsidRPr="00B35CFB">
              <w:rPr>
                <w:rFonts w:asciiTheme="minorHAnsi" w:hAnsiTheme="minorHAnsi" w:cstheme="minorHAnsi"/>
              </w:rPr>
              <w:t>Cycle level, year of study, semester</w:t>
            </w:r>
          </w:p>
        </w:tc>
        <w:tc>
          <w:tcPr>
            <w:tcW w:w="3761" w:type="dxa"/>
            <w:gridSpan w:val="2"/>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A6B7685" w14:textId="25C5ADFA" w:rsidR="002817CB" w:rsidRPr="00B35CFB" w:rsidRDefault="002817CB" w:rsidP="002817CB">
            <w:pPr>
              <w:jc w:val="center"/>
              <w:rPr>
                <w:rFonts w:asciiTheme="minorHAnsi" w:hAnsiTheme="minorHAnsi" w:cstheme="minorHAnsi"/>
                <w:sz w:val="18"/>
                <w:szCs w:val="18"/>
              </w:rPr>
            </w:pPr>
            <w:r w:rsidRPr="00B35CFB">
              <w:rPr>
                <w:rFonts w:asciiTheme="minorHAnsi" w:hAnsiTheme="minorHAnsi" w:cstheme="minorHAnsi"/>
                <w:sz w:val="20"/>
                <w:szCs w:val="20"/>
              </w:rPr>
              <w:t>Undergraduate academic study – First cycle</w:t>
            </w:r>
          </w:p>
        </w:tc>
        <w:tc>
          <w:tcPr>
            <w:tcW w:w="3213" w:type="dxa"/>
            <w:gridSpan w:val="2"/>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57AE7A19" w14:textId="3D308C12" w:rsidR="002817CB" w:rsidRPr="00B35CFB" w:rsidRDefault="002817CB" w:rsidP="002817CB">
            <w:pPr>
              <w:jc w:val="center"/>
              <w:rPr>
                <w:rFonts w:asciiTheme="minorHAnsi" w:hAnsiTheme="minorHAnsi" w:cstheme="minorHAnsi"/>
                <w:sz w:val="18"/>
                <w:szCs w:val="18"/>
              </w:rPr>
            </w:pPr>
            <w:r w:rsidRPr="00B35CFB">
              <w:rPr>
                <w:rFonts w:asciiTheme="minorHAnsi" w:hAnsiTheme="minorHAnsi" w:cstheme="minorHAnsi"/>
                <w:sz w:val="18"/>
                <w:szCs w:val="18"/>
              </w:rPr>
              <w:t>year: II</w:t>
            </w:r>
            <w:r w:rsidR="00305FFB" w:rsidRPr="00B35CFB">
              <w:rPr>
                <w:rFonts w:asciiTheme="minorHAnsi" w:hAnsiTheme="minorHAnsi" w:cstheme="minorHAnsi"/>
                <w:sz w:val="18"/>
                <w:szCs w:val="18"/>
              </w:rPr>
              <w:t>I</w:t>
            </w:r>
            <w:r w:rsidRPr="00B35CFB">
              <w:rPr>
                <w:rFonts w:asciiTheme="minorHAnsi" w:hAnsiTheme="minorHAnsi" w:cstheme="minorHAnsi"/>
                <w:sz w:val="18"/>
                <w:szCs w:val="18"/>
              </w:rPr>
              <w:t xml:space="preserve"> / semester: </w:t>
            </w:r>
            <w:r w:rsidR="00305FFB" w:rsidRPr="00B35CFB">
              <w:rPr>
                <w:rFonts w:asciiTheme="minorHAnsi" w:hAnsiTheme="minorHAnsi" w:cstheme="minorHAnsi"/>
                <w:sz w:val="18"/>
                <w:szCs w:val="18"/>
              </w:rPr>
              <w:t>VI</w:t>
            </w:r>
          </w:p>
        </w:tc>
      </w:tr>
      <w:tr w:rsidR="006936A8" w:rsidRPr="00B35CFB" w14:paraId="5A556062"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14BD5293" w14:textId="77777777" w:rsidR="00AF5DF1" w:rsidRPr="00B35CFB" w:rsidRDefault="00000000">
            <w:pPr>
              <w:rPr>
                <w:rFonts w:asciiTheme="minorHAnsi" w:hAnsiTheme="minorHAnsi" w:cstheme="minorHAnsi"/>
              </w:rPr>
            </w:pPr>
            <w:r w:rsidRPr="00B35CFB">
              <w:rPr>
                <w:rFonts w:asciiTheme="minorHAnsi" w:hAnsiTheme="minorHAnsi" w:cstheme="minorHAnsi"/>
              </w:rPr>
              <w:t>Course coordinator:</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E158328" w14:textId="58538129" w:rsidR="00AF5DF1" w:rsidRPr="00B35CFB" w:rsidRDefault="00000000">
            <w:pPr>
              <w:rPr>
                <w:rFonts w:asciiTheme="minorHAnsi" w:hAnsiTheme="minorHAnsi" w:cstheme="minorHAnsi"/>
              </w:rPr>
            </w:pPr>
            <w:r w:rsidRPr="00B35CFB">
              <w:rPr>
                <w:rFonts w:asciiTheme="minorHAnsi" w:hAnsiTheme="minorHAnsi" w:cstheme="minorHAnsi"/>
              </w:rPr>
              <w:t>Prof. Dr. Elmir Babovic</w:t>
            </w:r>
          </w:p>
        </w:tc>
      </w:tr>
      <w:tr w:rsidR="006936A8" w:rsidRPr="00B35CFB" w14:paraId="0488F7E8"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185F7B0D" w14:textId="77777777" w:rsidR="00AF5DF1" w:rsidRPr="00B35CFB" w:rsidRDefault="00000000">
            <w:pPr>
              <w:rPr>
                <w:rFonts w:asciiTheme="minorHAnsi" w:hAnsiTheme="minorHAnsi" w:cstheme="minorHAnsi"/>
              </w:rPr>
            </w:pPr>
            <w:r w:rsidRPr="00B35CFB">
              <w:rPr>
                <w:rFonts w:asciiTheme="minorHAnsi" w:hAnsiTheme="minorHAnsi" w:cstheme="minorHAnsi"/>
              </w:rPr>
              <w:t>Contact details: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22006755" w14:textId="77777777" w:rsidR="00AF5DF1" w:rsidRPr="00B35CFB" w:rsidRDefault="00000000">
            <w:pPr>
              <w:rPr>
                <w:rFonts w:asciiTheme="minorHAnsi" w:hAnsiTheme="minorHAnsi" w:cstheme="minorHAnsi"/>
              </w:rPr>
            </w:pPr>
            <w:r w:rsidRPr="00B35CFB">
              <w:rPr>
                <w:rFonts w:asciiTheme="minorHAnsi" w:hAnsiTheme="minorHAnsi" w:cstheme="minorHAnsi"/>
              </w:rPr>
              <w:t>E-mail: elmir.babovic@edu.fit.ba | Phone: +387 61 279 219</w:t>
            </w:r>
          </w:p>
        </w:tc>
      </w:tr>
      <w:tr w:rsidR="006936A8" w:rsidRPr="00B35CFB" w14:paraId="04344F7B"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159B3276" w14:textId="77777777" w:rsidR="00AF5DF1" w:rsidRPr="00B35CFB" w:rsidRDefault="00000000">
            <w:pPr>
              <w:rPr>
                <w:rFonts w:asciiTheme="minorHAnsi" w:hAnsiTheme="minorHAnsi" w:cstheme="minorHAnsi"/>
              </w:rPr>
            </w:pPr>
            <w:r w:rsidRPr="00B35CFB">
              <w:rPr>
                <w:rFonts w:asciiTheme="minorHAnsi" w:hAnsiTheme="minorHAnsi" w:cstheme="minorHAnsi"/>
              </w:rPr>
              <w:t>Total number of course hours per semester:</w:t>
            </w:r>
          </w:p>
        </w:tc>
        <w:tc>
          <w:tcPr>
            <w:tcW w:w="2611"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DEB8EAA" w14:textId="14A1674F" w:rsidR="006936A8" w:rsidRPr="00B35CFB" w:rsidRDefault="002817CB" w:rsidP="00F17D06">
            <w:pPr>
              <w:rPr>
                <w:rFonts w:asciiTheme="minorHAnsi" w:hAnsiTheme="minorHAnsi" w:cstheme="minorHAnsi"/>
                <w:sz w:val="20"/>
                <w:szCs w:val="20"/>
              </w:rPr>
            </w:pPr>
            <w:r w:rsidRPr="00B35CFB">
              <w:rPr>
                <w:rFonts w:asciiTheme="minorHAnsi" w:hAnsiTheme="minorHAnsi" w:cstheme="minorHAnsi"/>
                <w:sz w:val="20"/>
                <w:szCs w:val="20"/>
                <w:lang w:val="bs-Latn-BA"/>
              </w:rPr>
              <w:t>Lectures per week</w:t>
            </w:r>
            <w:r w:rsidR="006936A8" w:rsidRPr="00B35CFB">
              <w:rPr>
                <w:rFonts w:asciiTheme="minorHAnsi" w:hAnsiTheme="minorHAnsi" w:cstheme="minorHAnsi"/>
                <w:sz w:val="20"/>
                <w:szCs w:val="20"/>
              </w:rPr>
              <w:t xml:space="preserve">: </w:t>
            </w:r>
            <w:r w:rsidR="00305FFB" w:rsidRPr="00B35CFB">
              <w:rPr>
                <w:rFonts w:asciiTheme="minorHAnsi" w:hAnsiTheme="minorHAnsi" w:cstheme="minorHAnsi"/>
                <w:sz w:val="20"/>
                <w:szCs w:val="20"/>
              </w:rPr>
              <w:t>2</w:t>
            </w:r>
          </w:p>
        </w:tc>
        <w:tc>
          <w:tcPr>
            <w:tcW w:w="23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CF9A1" w14:textId="4FED669A" w:rsidR="006936A8" w:rsidRPr="00B35CFB" w:rsidRDefault="002817CB" w:rsidP="00F17D06">
            <w:pPr>
              <w:jc w:val="center"/>
              <w:rPr>
                <w:rFonts w:asciiTheme="minorHAnsi" w:hAnsiTheme="minorHAnsi" w:cstheme="minorHAnsi"/>
                <w:sz w:val="20"/>
                <w:szCs w:val="20"/>
              </w:rPr>
            </w:pPr>
            <w:r w:rsidRPr="00B35CFB">
              <w:rPr>
                <w:rFonts w:asciiTheme="minorHAnsi" w:hAnsiTheme="minorHAnsi" w:cstheme="minorHAnsi"/>
                <w:sz w:val="20"/>
                <w:szCs w:val="20"/>
                <w:lang w:val="bs-Latn-BA"/>
              </w:rPr>
              <w:t>Exercises per week</w:t>
            </w:r>
            <w:r w:rsidR="006936A8" w:rsidRPr="00B35CFB">
              <w:rPr>
                <w:rFonts w:asciiTheme="minorHAnsi" w:hAnsiTheme="minorHAnsi" w:cstheme="minorHAnsi"/>
                <w:sz w:val="20"/>
                <w:szCs w:val="20"/>
              </w:rPr>
              <w:t xml:space="preserve">: </w:t>
            </w:r>
            <w:r w:rsidR="00305FFB" w:rsidRPr="00B35CFB">
              <w:rPr>
                <w:rFonts w:asciiTheme="minorHAnsi" w:hAnsiTheme="minorHAnsi" w:cstheme="minorHAnsi"/>
                <w:sz w:val="20"/>
                <w:szCs w:val="20"/>
              </w:rPr>
              <w:t>2</w:t>
            </w:r>
            <w:r w:rsidR="006936A8" w:rsidRPr="00B35CFB">
              <w:rPr>
                <w:rFonts w:asciiTheme="minorHAnsi" w:hAnsiTheme="minorHAnsi" w:cstheme="minorHAnsi"/>
                <w:sz w:val="20"/>
                <w:szCs w:val="20"/>
              </w:rPr>
              <w:t xml:space="preserve"> </w:t>
            </w:r>
          </w:p>
        </w:tc>
        <w:tc>
          <w:tcPr>
            <w:tcW w:w="204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29188A7" w14:textId="24FF81C4" w:rsidR="006936A8" w:rsidRPr="00B35CFB" w:rsidRDefault="00305FFB" w:rsidP="00F17D06">
            <w:pPr>
              <w:rPr>
                <w:rFonts w:asciiTheme="minorHAnsi" w:hAnsiTheme="minorHAnsi" w:cstheme="minorHAnsi"/>
                <w:sz w:val="20"/>
                <w:szCs w:val="20"/>
              </w:rPr>
            </w:pPr>
            <w:r w:rsidRPr="00B35CFB">
              <w:rPr>
                <w:rFonts w:asciiTheme="minorHAnsi" w:hAnsiTheme="minorHAnsi" w:cstheme="minorHAnsi"/>
                <w:sz w:val="20"/>
                <w:szCs w:val="20"/>
              </w:rPr>
              <w:t>Total hours (L+E): 4</w:t>
            </w:r>
            <w:r w:rsidRPr="00B35CFB">
              <w:rPr>
                <w:rFonts w:asciiTheme="minorHAnsi" w:hAnsiTheme="minorHAnsi" w:cstheme="minorHAnsi"/>
                <w:sz w:val="20"/>
                <w:szCs w:val="20"/>
              </w:rPr>
              <w:br/>
              <w:t>DL (virtual classroom): min. 30% of in-class teaching</w:t>
            </w:r>
          </w:p>
        </w:tc>
      </w:tr>
      <w:tr w:rsidR="006936A8" w:rsidRPr="00B35CFB" w14:paraId="51B758FF"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65D9C8DE" w14:textId="77777777" w:rsidR="00AF5DF1" w:rsidRPr="00B35CFB" w:rsidRDefault="00000000">
            <w:pPr>
              <w:rPr>
                <w:rFonts w:asciiTheme="minorHAnsi" w:hAnsiTheme="minorHAnsi" w:cstheme="minorHAnsi"/>
              </w:rPr>
            </w:pPr>
            <w:r w:rsidRPr="00B35CFB">
              <w:rPr>
                <w:rFonts w:asciiTheme="minorHAnsi" w:hAnsiTheme="minorHAnsi" w:cstheme="minorHAnsi"/>
              </w:rPr>
              <w:t>ECTS credit value:</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EFBECC6" w14:textId="4EFCFB47" w:rsidR="00AF5DF1" w:rsidRPr="00B35CFB" w:rsidRDefault="00305FFB">
            <w:pPr>
              <w:rPr>
                <w:rFonts w:asciiTheme="minorHAnsi" w:hAnsiTheme="minorHAnsi" w:cstheme="minorHAnsi"/>
              </w:rPr>
            </w:pPr>
            <w:r w:rsidRPr="00B35CFB">
              <w:rPr>
                <w:rFonts w:asciiTheme="minorHAnsi" w:hAnsiTheme="minorHAnsi" w:cstheme="minorHAnsi"/>
              </w:rPr>
              <w:t>5 ECTS</w:t>
            </w:r>
          </w:p>
        </w:tc>
      </w:tr>
      <w:tr w:rsidR="006936A8" w:rsidRPr="00B35CFB" w14:paraId="7831F532"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01DE0C3A" w14:textId="77777777" w:rsidR="00AF5DF1" w:rsidRPr="00B35CFB" w:rsidRDefault="00000000">
            <w:pPr>
              <w:rPr>
                <w:rFonts w:asciiTheme="minorHAnsi" w:hAnsiTheme="minorHAnsi" w:cstheme="minorHAnsi"/>
              </w:rPr>
            </w:pPr>
            <w:r w:rsidRPr="00B35CFB">
              <w:rPr>
                <w:rFonts w:asciiTheme="minorHAnsi" w:hAnsiTheme="minorHAnsi" w:cstheme="minorHAnsi"/>
              </w:rPr>
              <w:t>Home qualification:</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3E87BB87" w14:textId="43DF660A" w:rsidR="00AF5DF1" w:rsidRPr="00B35CFB" w:rsidRDefault="00305FFB">
            <w:pPr>
              <w:rPr>
                <w:rFonts w:asciiTheme="minorHAnsi" w:hAnsiTheme="minorHAnsi" w:cstheme="minorHAnsi"/>
                <w:sz w:val="22"/>
                <w:szCs w:val="22"/>
                <w:lang w:val="en-US" w:eastAsia="en-US"/>
              </w:rPr>
            </w:pPr>
            <w:r w:rsidRPr="00B35CFB">
              <w:rPr>
                <w:rFonts w:asciiTheme="minorHAnsi" w:hAnsiTheme="minorHAnsi" w:cstheme="minorHAnsi"/>
              </w:rPr>
              <w:t>Bachelor of Information Technologies – Software Engineering track</w:t>
            </w:r>
          </w:p>
        </w:tc>
      </w:tr>
      <w:tr w:rsidR="006936A8" w:rsidRPr="00B35CFB" w14:paraId="457C5394"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2F987720" w14:textId="77777777" w:rsidR="00AF5DF1" w:rsidRPr="00B35CFB" w:rsidRDefault="00000000">
            <w:pPr>
              <w:rPr>
                <w:rFonts w:asciiTheme="minorHAnsi" w:hAnsiTheme="minorHAnsi" w:cstheme="minorHAnsi"/>
              </w:rPr>
            </w:pPr>
            <w:r w:rsidRPr="00B35CFB">
              <w:rPr>
                <w:rFonts w:asciiTheme="minorHAnsi" w:hAnsiTheme="minorHAnsi" w:cstheme="minorHAnsi"/>
              </w:rPr>
              <w:t>Course status: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071ED920" w14:textId="466C3A64" w:rsidR="00AF5DF1" w:rsidRPr="00B35CFB" w:rsidRDefault="00305FFB">
            <w:pPr>
              <w:rPr>
                <w:rFonts w:asciiTheme="minorHAnsi" w:hAnsiTheme="minorHAnsi" w:cstheme="minorHAnsi"/>
              </w:rPr>
            </w:pPr>
            <w:r w:rsidRPr="00B35CFB">
              <w:rPr>
                <w:rFonts w:asciiTheme="minorHAnsi" w:hAnsiTheme="minorHAnsi" w:cstheme="minorHAnsi"/>
              </w:rPr>
              <w:t>Elective</w:t>
            </w:r>
          </w:p>
        </w:tc>
      </w:tr>
      <w:tr w:rsidR="006936A8" w:rsidRPr="00B35CFB" w14:paraId="45A6FEB0"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4D9F1C06" w14:textId="77777777" w:rsidR="00AF5DF1" w:rsidRPr="00B35CFB" w:rsidRDefault="00000000">
            <w:pPr>
              <w:rPr>
                <w:rFonts w:asciiTheme="minorHAnsi" w:hAnsiTheme="minorHAnsi" w:cstheme="minorHAnsi"/>
              </w:rPr>
            </w:pPr>
            <w:r w:rsidRPr="00B35CFB">
              <w:rPr>
                <w:rFonts w:asciiTheme="minorHAnsi" w:hAnsiTheme="minorHAnsi" w:cstheme="minorHAnsi"/>
              </w:rPr>
              <w:t>Prerequisites: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C02E20D" w14:textId="77777777" w:rsidR="006936A8" w:rsidRPr="00B35CFB" w:rsidRDefault="006936A8" w:rsidP="00F17D06">
            <w:pPr>
              <w:jc w:val="center"/>
              <w:rPr>
                <w:rFonts w:asciiTheme="minorHAnsi" w:hAnsiTheme="minorHAnsi" w:cstheme="minorHAnsi"/>
                <w:sz w:val="18"/>
                <w:szCs w:val="18"/>
              </w:rPr>
            </w:pPr>
          </w:p>
        </w:tc>
      </w:tr>
      <w:tr w:rsidR="006936A8" w:rsidRPr="00B35CFB" w14:paraId="73838797"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32858A6B" w14:textId="77777777" w:rsidR="00AF5DF1" w:rsidRPr="00B35CFB" w:rsidRDefault="00000000">
            <w:pPr>
              <w:rPr>
                <w:rFonts w:asciiTheme="minorHAnsi" w:hAnsiTheme="minorHAnsi" w:cstheme="minorHAnsi"/>
              </w:rPr>
            </w:pPr>
            <w:r w:rsidRPr="00B35CFB">
              <w:rPr>
                <w:rFonts w:asciiTheme="minorHAnsi" w:hAnsiTheme="minorHAnsi" w:cstheme="minorHAnsi"/>
              </w:rPr>
              <w:t>Access restrictions: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81BF49A" w14:textId="77777777" w:rsidR="00AF5DF1" w:rsidRPr="00B35CFB" w:rsidRDefault="00000000">
            <w:pPr>
              <w:rPr>
                <w:rFonts w:asciiTheme="minorHAnsi" w:hAnsiTheme="minorHAnsi" w:cstheme="minorHAnsi"/>
              </w:rPr>
            </w:pPr>
            <w:r w:rsidRPr="00B35CFB">
              <w:rPr>
                <w:rFonts w:asciiTheme="minorHAnsi" w:hAnsiTheme="minorHAnsi" w:cstheme="minorHAnsi"/>
              </w:rPr>
              <w:t>FIT students only</w:t>
            </w:r>
          </w:p>
        </w:tc>
      </w:tr>
      <w:tr w:rsidR="006936A8" w:rsidRPr="00B35CFB" w14:paraId="35CA40B1"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17F5AF48" w14:textId="77777777" w:rsidR="00AF5DF1" w:rsidRPr="00B35CFB" w:rsidRDefault="00000000">
            <w:pPr>
              <w:rPr>
                <w:rFonts w:asciiTheme="minorHAnsi" w:hAnsiTheme="minorHAnsi" w:cstheme="minorHAnsi"/>
              </w:rPr>
            </w:pPr>
            <w:r w:rsidRPr="00B35CFB">
              <w:rPr>
                <w:rFonts w:asciiTheme="minorHAnsi" w:hAnsiTheme="minorHAnsi" w:cstheme="minorHAnsi"/>
              </w:rPr>
              <w:t>ECTS justification:</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75227B6" w14:textId="77777777" w:rsidR="00AF5DF1" w:rsidRPr="00B35CFB" w:rsidRDefault="00000000">
            <w:pPr>
              <w:rPr>
                <w:rFonts w:asciiTheme="minorHAnsi" w:hAnsiTheme="minorHAnsi" w:cstheme="minorHAnsi"/>
              </w:rPr>
            </w:pPr>
            <w:r w:rsidRPr="00B35CFB">
              <w:rPr>
                <w:rFonts w:asciiTheme="minorHAnsi" w:hAnsiTheme="minorHAnsi" w:cstheme="minorHAnsi"/>
              </w:rPr>
              <w:t>The number of ECTS credits corresponds to the number of hours required to complete teaching activities and exam preparation.</w:t>
            </w:r>
          </w:p>
        </w:tc>
      </w:tr>
      <w:tr w:rsidR="006936A8" w:rsidRPr="00B35CFB" w14:paraId="6DC82E9B"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2B209C65" w14:textId="77777777" w:rsidR="00AF5DF1" w:rsidRPr="00B35CFB" w:rsidRDefault="00000000">
            <w:pPr>
              <w:rPr>
                <w:rFonts w:asciiTheme="minorHAnsi" w:hAnsiTheme="minorHAnsi" w:cstheme="minorHAnsi"/>
              </w:rPr>
            </w:pPr>
            <w:r w:rsidRPr="00B35CFB">
              <w:rPr>
                <w:rFonts w:asciiTheme="minorHAnsi" w:hAnsiTheme="minorHAnsi" w:cstheme="minorHAnsi"/>
              </w:rPr>
              <w:t>Course objectives: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D1C9D38" w14:textId="7D2F3B8F" w:rsidR="00AF5DF1" w:rsidRPr="00B35CFB" w:rsidRDefault="00305FFB">
            <w:pPr>
              <w:rPr>
                <w:rFonts w:asciiTheme="minorHAnsi" w:hAnsiTheme="minorHAnsi" w:cstheme="minorHAnsi"/>
                <w:sz w:val="22"/>
                <w:szCs w:val="22"/>
                <w:lang w:val="en-US" w:eastAsia="en-US"/>
              </w:rPr>
            </w:pPr>
            <w:r w:rsidRPr="00B35CFB">
              <w:rPr>
                <w:rFonts w:asciiTheme="minorHAnsi" w:hAnsiTheme="minorHAnsi" w:cstheme="minorHAnsi"/>
              </w:rPr>
              <w:t>The objective of the course is to enable students to independently design and implement IoT projects.</w:t>
            </w:r>
          </w:p>
        </w:tc>
      </w:tr>
      <w:tr w:rsidR="006936A8" w:rsidRPr="00B35CFB" w14:paraId="195337D3"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33B0D22B" w14:textId="77777777" w:rsidR="00AF5DF1" w:rsidRPr="00B35CFB" w:rsidRDefault="00000000">
            <w:pPr>
              <w:rPr>
                <w:rFonts w:asciiTheme="minorHAnsi" w:hAnsiTheme="minorHAnsi" w:cstheme="minorHAnsi"/>
              </w:rPr>
            </w:pPr>
            <w:r w:rsidRPr="00B35CFB">
              <w:rPr>
                <w:rFonts w:asciiTheme="minorHAnsi" w:hAnsiTheme="minorHAnsi" w:cstheme="minorHAnsi"/>
              </w:rPr>
              <w:t>Learning outcomes and competencies: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18AF54C1" w14:textId="79DB274A" w:rsidR="00CA4BC0" w:rsidRPr="00B35CFB" w:rsidRDefault="00305FFB" w:rsidP="00305FFB">
            <w:pPr>
              <w:jc w:val="both"/>
              <w:rPr>
                <w:rFonts w:asciiTheme="minorHAnsi" w:hAnsiTheme="minorHAnsi" w:cstheme="minorHAnsi"/>
                <w:sz w:val="22"/>
                <w:szCs w:val="22"/>
                <w:lang w:val="en-US" w:eastAsia="en-US"/>
              </w:rPr>
            </w:pPr>
            <w:r w:rsidRPr="00B35CFB">
              <w:rPr>
                <w:rFonts w:asciiTheme="minorHAnsi" w:hAnsiTheme="minorHAnsi" w:cstheme="minorHAnsi"/>
              </w:rPr>
              <w:t>Students are able to independently perform needs analysis, design, development, and implementation of concrete IoT projects. They are familiar with modern trends in IoT. They are capable of using tools and methods for implementing electronic components and microprocessor-based embedded devices, connecting them via the Internet, and performing control and monitoring in real-world environments. They understand wireless networking capabilities and are familiar with communication technologies and protocols for IoT implementation.</w:t>
            </w:r>
          </w:p>
        </w:tc>
      </w:tr>
      <w:tr w:rsidR="006936A8" w:rsidRPr="00B35CFB" w14:paraId="2C8C7C4C"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2891469C" w14:textId="77777777" w:rsidR="00AF5DF1" w:rsidRPr="00B35CFB" w:rsidRDefault="00000000">
            <w:pPr>
              <w:rPr>
                <w:rFonts w:asciiTheme="minorHAnsi" w:hAnsiTheme="minorHAnsi" w:cstheme="minorHAnsi"/>
              </w:rPr>
            </w:pPr>
            <w:r w:rsidRPr="00B35CFB">
              <w:rPr>
                <w:rFonts w:asciiTheme="minorHAnsi" w:hAnsiTheme="minorHAnsi" w:cstheme="minorHAnsi"/>
              </w:rPr>
              <w:t>Indicative course content:</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84EA7E9" w14:textId="327FF6FF" w:rsidR="00AF5DF1" w:rsidRPr="00B35CFB" w:rsidRDefault="00305FFB">
            <w:pPr>
              <w:rPr>
                <w:rFonts w:asciiTheme="minorHAnsi" w:hAnsiTheme="minorHAnsi" w:cstheme="minorHAnsi"/>
                <w:sz w:val="22"/>
                <w:szCs w:val="22"/>
                <w:lang w:val="en-US" w:eastAsia="en-US"/>
              </w:rPr>
            </w:pPr>
            <w:r w:rsidRPr="00B35CFB">
              <w:rPr>
                <w:rFonts w:asciiTheme="minorHAnsi" w:hAnsiTheme="minorHAnsi" w:cstheme="minorHAnsi"/>
              </w:rPr>
              <w:t>1. Introduction to IoT</w:t>
            </w:r>
            <w:r w:rsidRPr="00B35CFB">
              <w:rPr>
                <w:rFonts w:asciiTheme="minorHAnsi" w:hAnsiTheme="minorHAnsi" w:cstheme="minorHAnsi"/>
              </w:rPr>
              <w:br/>
              <w:t>2. IoT applications</w:t>
            </w:r>
            <w:r w:rsidRPr="00B35CFB">
              <w:rPr>
                <w:rFonts w:asciiTheme="minorHAnsi" w:hAnsiTheme="minorHAnsi" w:cstheme="minorHAnsi"/>
              </w:rPr>
              <w:br/>
              <w:t>3. IoT protocols</w:t>
            </w:r>
            <w:r w:rsidRPr="00B35CFB">
              <w:rPr>
                <w:rFonts w:asciiTheme="minorHAnsi" w:hAnsiTheme="minorHAnsi" w:cstheme="minorHAnsi"/>
              </w:rPr>
              <w:br/>
              <w:t>4. PtP, M2M, sensor networks</w:t>
            </w:r>
            <w:r w:rsidRPr="00B35CFB">
              <w:rPr>
                <w:rFonts w:asciiTheme="minorHAnsi" w:hAnsiTheme="minorHAnsi" w:cstheme="minorHAnsi"/>
              </w:rPr>
              <w:br/>
              <w:t>5. PLC- and PC-based IoT</w:t>
            </w:r>
            <w:r w:rsidRPr="00B35CFB">
              <w:rPr>
                <w:rFonts w:asciiTheme="minorHAnsi" w:hAnsiTheme="minorHAnsi" w:cstheme="minorHAnsi"/>
              </w:rPr>
              <w:br/>
              <w:t>6. Wireless and mobile networks</w:t>
            </w:r>
            <w:r w:rsidRPr="00B35CFB">
              <w:rPr>
                <w:rFonts w:asciiTheme="minorHAnsi" w:hAnsiTheme="minorHAnsi" w:cstheme="minorHAnsi"/>
              </w:rPr>
              <w:br/>
              <w:t>7. Sensor and measurement device implementation</w:t>
            </w:r>
            <w:r w:rsidRPr="00B35CFB">
              <w:rPr>
                <w:rFonts w:asciiTheme="minorHAnsi" w:hAnsiTheme="minorHAnsi" w:cstheme="minorHAnsi"/>
              </w:rPr>
              <w:br/>
              <w:t>8. Actuator implementation</w:t>
            </w:r>
            <w:r w:rsidRPr="00B35CFB">
              <w:rPr>
                <w:rFonts w:asciiTheme="minorHAnsi" w:hAnsiTheme="minorHAnsi" w:cstheme="minorHAnsi"/>
              </w:rPr>
              <w:br/>
              <w:t>9. IoT remote control and monitoring</w:t>
            </w:r>
            <w:r w:rsidRPr="00B35CFB">
              <w:rPr>
                <w:rFonts w:asciiTheme="minorHAnsi" w:hAnsiTheme="minorHAnsi" w:cstheme="minorHAnsi"/>
              </w:rPr>
              <w:br/>
              <w:t>10. Microcontroller programming</w:t>
            </w:r>
            <w:r w:rsidRPr="00B35CFB">
              <w:rPr>
                <w:rFonts w:asciiTheme="minorHAnsi" w:hAnsiTheme="minorHAnsi" w:cstheme="minorHAnsi"/>
              </w:rPr>
              <w:br/>
              <w:t>11. Credit-card size computers</w:t>
            </w:r>
            <w:r w:rsidRPr="00B35CFB">
              <w:rPr>
                <w:rFonts w:asciiTheme="minorHAnsi" w:hAnsiTheme="minorHAnsi" w:cstheme="minorHAnsi"/>
              </w:rPr>
              <w:br/>
              <w:t>12. Web programming</w:t>
            </w:r>
            <w:r w:rsidRPr="00B35CFB">
              <w:rPr>
                <w:rFonts w:asciiTheme="minorHAnsi" w:hAnsiTheme="minorHAnsi" w:cstheme="minorHAnsi"/>
              </w:rPr>
              <w:br/>
              <w:t>13. Data acquisition and IoT</w:t>
            </w:r>
            <w:r w:rsidRPr="00B35CFB">
              <w:rPr>
                <w:rFonts w:asciiTheme="minorHAnsi" w:hAnsiTheme="minorHAnsi" w:cstheme="minorHAnsi"/>
              </w:rPr>
              <w:br/>
              <w:t>14. Security and IoT</w:t>
            </w:r>
          </w:p>
        </w:tc>
      </w:tr>
      <w:tr w:rsidR="006936A8" w:rsidRPr="00B35CFB" w14:paraId="5331DBB2"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2489439B" w14:textId="77777777" w:rsidR="00AF5DF1" w:rsidRPr="00B35CFB" w:rsidRDefault="00000000">
            <w:pPr>
              <w:rPr>
                <w:rFonts w:asciiTheme="minorHAnsi" w:hAnsiTheme="minorHAnsi" w:cstheme="minorHAnsi"/>
              </w:rPr>
            </w:pPr>
            <w:r w:rsidRPr="00B35CFB">
              <w:rPr>
                <w:rFonts w:asciiTheme="minorHAnsi" w:hAnsiTheme="minorHAnsi" w:cstheme="minorHAnsi"/>
              </w:rPr>
              <w:lastRenderedPageBreak/>
              <w:t>Teaching and learning methods: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40F35C89" w14:textId="11D7E808" w:rsidR="00AF5DF1" w:rsidRPr="00B35CFB" w:rsidRDefault="00305FFB">
            <w:pPr>
              <w:rPr>
                <w:rFonts w:asciiTheme="minorHAnsi" w:hAnsiTheme="minorHAnsi" w:cstheme="minorHAnsi"/>
                <w:sz w:val="22"/>
                <w:szCs w:val="22"/>
                <w:lang w:val="en-US" w:eastAsia="en-US"/>
              </w:rPr>
            </w:pPr>
            <w:r w:rsidRPr="00B35CFB">
              <w:rPr>
                <w:rFonts w:asciiTheme="minorHAnsi" w:hAnsiTheme="minorHAnsi" w:cstheme="minorHAnsi"/>
              </w:rPr>
              <w:t>Lectures, presentations, exercises, and practical work using Raspberry Pi and Arduino development environments, with sensors, actuators, and web technologies for control.</w:t>
            </w:r>
          </w:p>
        </w:tc>
      </w:tr>
      <w:tr w:rsidR="006936A8" w:rsidRPr="00B35CFB" w14:paraId="126705C5"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3AC61308" w14:textId="77777777" w:rsidR="00AF5DF1" w:rsidRPr="00B35CFB" w:rsidRDefault="00000000">
            <w:pPr>
              <w:rPr>
                <w:rFonts w:asciiTheme="minorHAnsi" w:hAnsiTheme="minorHAnsi" w:cstheme="minorHAnsi"/>
              </w:rPr>
            </w:pPr>
            <w:r w:rsidRPr="00B35CFB">
              <w:rPr>
                <w:rFonts w:asciiTheme="minorHAnsi" w:hAnsiTheme="minorHAnsi" w:cstheme="minorHAnsi"/>
              </w:rPr>
              <w:t>Other student obligations: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5BD4EBCD" w14:textId="5E429901" w:rsidR="006936A8" w:rsidRPr="00B35CFB" w:rsidRDefault="00305FFB" w:rsidP="00F17D06">
            <w:pPr>
              <w:jc w:val="center"/>
              <w:rPr>
                <w:rFonts w:asciiTheme="minorHAnsi" w:hAnsiTheme="minorHAnsi" w:cstheme="minorHAnsi"/>
              </w:rPr>
            </w:pPr>
            <w:r w:rsidRPr="00B35CFB">
              <w:rPr>
                <w:rFonts w:asciiTheme="minorHAnsi" w:hAnsiTheme="minorHAnsi" w:cstheme="minorHAnsi"/>
                <w:sz w:val="20"/>
                <w:szCs w:val="20"/>
              </w:rPr>
              <w:t>Project work / midterm assessment; regular students must attend at least 70% of the total course hours.</w:t>
            </w:r>
          </w:p>
        </w:tc>
      </w:tr>
      <w:tr w:rsidR="006936A8" w:rsidRPr="00B35CFB" w14:paraId="4807F985"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1555186E" w14:textId="77777777" w:rsidR="00AF5DF1" w:rsidRPr="00B35CFB" w:rsidRDefault="00000000">
            <w:pPr>
              <w:rPr>
                <w:rFonts w:asciiTheme="minorHAnsi" w:hAnsiTheme="minorHAnsi" w:cstheme="minorHAnsi"/>
              </w:rPr>
            </w:pPr>
            <w:r w:rsidRPr="00B35CFB">
              <w:rPr>
                <w:rFonts w:asciiTheme="minorHAnsi" w:hAnsiTheme="minorHAnsi" w:cstheme="minorHAnsi"/>
              </w:rPr>
              <w:t>Assessment method and grading:</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7C9700D6" w14:textId="31A57180" w:rsidR="00AF5DF1" w:rsidRPr="00B35CFB" w:rsidRDefault="00305FFB">
            <w:pPr>
              <w:rPr>
                <w:rFonts w:asciiTheme="minorHAnsi" w:hAnsiTheme="minorHAnsi" w:cstheme="minorHAnsi"/>
              </w:rPr>
            </w:pPr>
            <w:r w:rsidRPr="00B35CFB">
              <w:rPr>
                <w:rFonts w:asciiTheme="minorHAnsi" w:hAnsiTheme="minorHAnsi" w:cstheme="minorHAnsi"/>
              </w:rPr>
              <w:t>1st midterm: 25%</w:t>
            </w:r>
            <w:r w:rsidRPr="00B35CFB">
              <w:rPr>
                <w:rFonts w:asciiTheme="minorHAnsi" w:hAnsiTheme="minorHAnsi" w:cstheme="minorHAnsi"/>
              </w:rPr>
              <w:br/>
              <w:t>2nd midterm: 25%</w:t>
            </w:r>
            <w:r w:rsidRPr="00B35CFB">
              <w:rPr>
                <w:rFonts w:asciiTheme="minorHAnsi" w:hAnsiTheme="minorHAnsi" w:cstheme="minorHAnsi"/>
              </w:rPr>
              <w:br/>
              <w:t>Project: 50%</w:t>
            </w:r>
          </w:p>
        </w:tc>
      </w:tr>
      <w:tr w:rsidR="006936A8" w:rsidRPr="00B35CFB" w14:paraId="5A274886" w14:textId="77777777" w:rsidTr="00F17D06">
        <w:trPr>
          <w:jc w:val="center"/>
        </w:trPr>
        <w:tc>
          <w:tcPr>
            <w:tcW w:w="3313" w:type="dxa"/>
            <w:tcBorders>
              <w:top w:val="single" w:sz="4" w:space="0" w:color="000000"/>
              <w:left w:val="double" w:sz="4" w:space="0" w:color="000000"/>
              <w:bottom w:val="single" w:sz="4" w:space="0" w:color="000000"/>
              <w:right w:val="double" w:sz="4" w:space="0" w:color="000000"/>
            </w:tcBorders>
            <w:shd w:val="clear" w:color="auto" w:fill="CCCCCC"/>
            <w:tcMar>
              <w:top w:w="0" w:type="dxa"/>
              <w:left w:w="108" w:type="dxa"/>
              <w:bottom w:w="0" w:type="dxa"/>
              <w:right w:w="108" w:type="dxa"/>
            </w:tcMar>
            <w:vAlign w:val="center"/>
          </w:tcPr>
          <w:p w14:paraId="74FC2CD1" w14:textId="77777777" w:rsidR="00AF5DF1" w:rsidRPr="00B35CFB" w:rsidRDefault="00000000">
            <w:pPr>
              <w:rPr>
                <w:rFonts w:asciiTheme="minorHAnsi" w:hAnsiTheme="minorHAnsi" w:cstheme="minorHAnsi"/>
              </w:rPr>
            </w:pPr>
            <w:r w:rsidRPr="00B35CFB">
              <w:rPr>
                <w:rFonts w:asciiTheme="minorHAnsi" w:hAnsiTheme="minorHAnsi" w:cstheme="minorHAnsi"/>
              </w:rPr>
              <w:t>Basic literature and online resources:</w:t>
            </w:r>
          </w:p>
        </w:tc>
        <w:tc>
          <w:tcPr>
            <w:tcW w:w="6974" w:type="dxa"/>
            <w:gridSpan w:val="4"/>
            <w:tcBorders>
              <w:top w:val="single" w:sz="4" w:space="0" w:color="000000"/>
              <w:left w:val="double" w:sz="4" w:space="0" w:color="000000"/>
              <w:bottom w:val="single" w:sz="4" w:space="0" w:color="000000"/>
              <w:right w:val="double" w:sz="4" w:space="0" w:color="000000"/>
            </w:tcBorders>
            <w:tcMar>
              <w:top w:w="0" w:type="dxa"/>
              <w:left w:w="108" w:type="dxa"/>
              <w:bottom w:w="0" w:type="dxa"/>
              <w:right w:w="108" w:type="dxa"/>
            </w:tcMar>
            <w:vAlign w:val="center"/>
          </w:tcPr>
          <w:p w14:paraId="6041DF7B" w14:textId="718088AF" w:rsidR="00B75A3B" w:rsidRPr="00B35CFB" w:rsidRDefault="00305FFB" w:rsidP="00305FFB">
            <w:pPr>
              <w:rPr>
                <w:rFonts w:asciiTheme="minorHAnsi" w:hAnsiTheme="minorHAnsi" w:cstheme="minorHAnsi"/>
                <w:sz w:val="22"/>
                <w:szCs w:val="22"/>
                <w:lang w:val="en-US" w:eastAsia="en-US"/>
              </w:rPr>
            </w:pPr>
            <w:r w:rsidRPr="00B35CFB">
              <w:rPr>
                <w:rFonts w:asciiTheme="minorHAnsi" w:hAnsiTheme="minorHAnsi" w:cstheme="minorHAnsi"/>
              </w:rPr>
              <w:t>1. Learning Internet of Things – Peter Waher</w:t>
            </w:r>
            <w:r w:rsidRPr="00B35CFB">
              <w:rPr>
                <w:rFonts w:asciiTheme="minorHAnsi" w:hAnsiTheme="minorHAnsi" w:cstheme="minorHAnsi"/>
              </w:rPr>
              <w:br/>
              <w:t>2. Building Wireless Sensor Networks – Robert Faludi</w:t>
            </w:r>
            <w:r w:rsidRPr="00B35CFB">
              <w:rPr>
                <w:rFonts w:asciiTheme="minorHAnsi" w:hAnsiTheme="minorHAnsi" w:cstheme="minorHAnsi"/>
              </w:rPr>
              <w:br/>
              <w:t>3. Internet of Things: A Hands-On Approach – Arshdeep Bahga</w:t>
            </w:r>
            <w:r w:rsidRPr="00B35CFB">
              <w:rPr>
                <w:rFonts w:asciiTheme="minorHAnsi" w:hAnsiTheme="minorHAnsi" w:cstheme="minorHAnsi"/>
              </w:rPr>
              <w:br/>
              <w:t>4. The Internet of Things – Samuel Greengard</w:t>
            </w:r>
            <w:r w:rsidRPr="00B35CFB">
              <w:rPr>
                <w:rFonts w:asciiTheme="minorHAnsi" w:hAnsiTheme="minorHAnsi" w:cstheme="minorHAnsi"/>
              </w:rPr>
              <w:br/>
              <w:t>5. Internet of Things: From Research and Innovation to Market Deployment</w:t>
            </w:r>
            <w:r w:rsidRPr="00B35CFB">
              <w:rPr>
                <w:rFonts w:asciiTheme="minorHAnsi" w:hAnsiTheme="minorHAnsi" w:cstheme="minorHAnsi"/>
              </w:rPr>
              <w:br/>
              <w:t>6. Internet of Things: Converging Technologies for Smart Environments and Integrated Ecosystems – Ovidiu Vermesan (Ed.)</w:t>
            </w:r>
          </w:p>
        </w:tc>
      </w:tr>
      <w:tr w:rsidR="006936A8" w:rsidRPr="00B35CFB" w14:paraId="4F77DD1B" w14:textId="77777777" w:rsidTr="00F17D06">
        <w:trPr>
          <w:jc w:val="center"/>
        </w:trPr>
        <w:tc>
          <w:tcPr>
            <w:tcW w:w="3313" w:type="dxa"/>
            <w:tcBorders>
              <w:top w:val="single" w:sz="4" w:space="0" w:color="000000"/>
              <w:left w:val="double" w:sz="4" w:space="0" w:color="000000"/>
              <w:bottom w:val="double" w:sz="4" w:space="0" w:color="000000"/>
              <w:right w:val="double" w:sz="4" w:space="0" w:color="000000"/>
            </w:tcBorders>
            <w:shd w:val="clear" w:color="auto" w:fill="CCCCCC"/>
            <w:tcMar>
              <w:top w:w="0" w:type="dxa"/>
              <w:left w:w="108" w:type="dxa"/>
              <w:bottom w:w="0" w:type="dxa"/>
              <w:right w:w="108" w:type="dxa"/>
            </w:tcMar>
            <w:vAlign w:val="center"/>
          </w:tcPr>
          <w:p w14:paraId="30162A87" w14:textId="77777777" w:rsidR="00AF5DF1" w:rsidRPr="00B35CFB" w:rsidRDefault="00000000">
            <w:pPr>
              <w:rPr>
                <w:rFonts w:asciiTheme="minorHAnsi" w:hAnsiTheme="minorHAnsi" w:cstheme="minorHAnsi"/>
              </w:rPr>
            </w:pPr>
            <w:r w:rsidRPr="00B35CFB">
              <w:rPr>
                <w:rFonts w:asciiTheme="minorHAnsi" w:hAnsiTheme="minorHAnsi" w:cstheme="minorHAnsi"/>
              </w:rPr>
              <w:t>Quality assurance and course performance monitoring:</w:t>
            </w:r>
          </w:p>
        </w:tc>
        <w:tc>
          <w:tcPr>
            <w:tcW w:w="6974" w:type="dxa"/>
            <w:gridSpan w:val="4"/>
            <w:tcBorders>
              <w:top w:val="single" w:sz="4" w:space="0" w:color="000000"/>
              <w:left w:val="double" w:sz="4" w:space="0" w:color="000000"/>
              <w:bottom w:val="double" w:sz="4" w:space="0" w:color="000000"/>
              <w:right w:val="double" w:sz="4" w:space="0" w:color="000000"/>
            </w:tcBorders>
            <w:tcMar>
              <w:top w:w="0" w:type="dxa"/>
              <w:left w:w="108" w:type="dxa"/>
              <w:bottom w:w="0" w:type="dxa"/>
              <w:right w:w="108" w:type="dxa"/>
            </w:tcMar>
            <w:vAlign w:val="center"/>
          </w:tcPr>
          <w:p w14:paraId="5D6A3B75" w14:textId="5BB56946" w:rsidR="00AF5DF1" w:rsidRPr="00B35CFB" w:rsidRDefault="00305FFB">
            <w:pPr>
              <w:rPr>
                <w:rFonts w:asciiTheme="minorHAnsi" w:hAnsiTheme="minorHAnsi" w:cstheme="minorHAnsi"/>
                <w:sz w:val="22"/>
                <w:szCs w:val="22"/>
                <w:lang w:val="en-US" w:eastAsia="en-US"/>
              </w:rPr>
            </w:pPr>
            <w:r w:rsidRPr="00B35CFB">
              <w:rPr>
                <w:rFonts w:asciiTheme="minorHAnsi" w:hAnsiTheme="minorHAnsi" w:cstheme="minorHAnsi"/>
              </w:rPr>
              <w:t>Student surveys, course coordinator surveys, and periodic teaching staff reports on teaching quality and assessment methods.</w:t>
            </w:r>
          </w:p>
        </w:tc>
      </w:tr>
    </w:tbl>
    <w:p w14:paraId="446A3A56" w14:textId="77777777" w:rsidR="00D36741" w:rsidRPr="00B35CFB" w:rsidRDefault="00D36741">
      <w:pPr>
        <w:rPr>
          <w:rFonts w:asciiTheme="minorHAnsi" w:hAnsiTheme="minorHAnsi" w:cstheme="minorHAnsi"/>
        </w:rPr>
      </w:pPr>
    </w:p>
    <w:sectPr w:rsidR="00D36741" w:rsidRPr="00B35CFB" w:rsidSect="00151BA3">
      <w:pgSz w:w="12240" w:h="15840"/>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E9FD" w14:textId="77777777" w:rsidR="00636007" w:rsidRDefault="00636007" w:rsidP="00151BA3">
      <w:r>
        <w:separator/>
      </w:r>
    </w:p>
  </w:endnote>
  <w:endnote w:type="continuationSeparator" w:id="0">
    <w:p w14:paraId="33D4AC0B" w14:textId="77777777" w:rsidR="00636007" w:rsidRDefault="00636007" w:rsidP="0015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Ellipt BT">
    <w:altName w:val="Times New Roman"/>
    <w:charset w:val="00"/>
    <w:family w:val="roman"/>
    <w:pitch w:val="variable"/>
    <w:sig w:usb0="800000AF"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19CB" w14:textId="77777777" w:rsidR="00636007" w:rsidRDefault="00636007" w:rsidP="00151BA3">
      <w:r>
        <w:separator/>
      </w:r>
    </w:p>
  </w:footnote>
  <w:footnote w:type="continuationSeparator" w:id="0">
    <w:p w14:paraId="4989C0F4" w14:textId="77777777" w:rsidR="00636007" w:rsidRDefault="00636007" w:rsidP="0015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4056"/>
    <w:multiLevelType w:val="multilevel"/>
    <w:tmpl w:val="AF98DF68"/>
    <w:lvl w:ilvl="0">
      <w:start w:val="1"/>
      <w:numFmt w:val="decimal"/>
      <w:lvlText w:val="%1."/>
      <w:lvlJc w:val="left"/>
      <w:pPr>
        <w:ind w:left="720" w:hanging="360"/>
      </w:pPr>
      <w:rPr>
        <w:rFonts w:ascii="Times New Roman" w:hAnsi="Times New Roman" w:cs="Times New Roman"/>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8C7B01"/>
    <w:multiLevelType w:val="multilevel"/>
    <w:tmpl w:val="8E200C5E"/>
    <w:lvl w:ilvl="0">
      <w:start w:val="1"/>
      <w:numFmt w:val="decimal"/>
      <w:lvlText w:val="%1."/>
      <w:lvlJc w:val="left"/>
      <w:pPr>
        <w:ind w:left="743" w:hanging="360"/>
      </w:pPr>
      <w:rPr>
        <w:rFonts w:ascii="Times New Roman"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903132D"/>
    <w:multiLevelType w:val="multilevel"/>
    <w:tmpl w:val="8E200C5E"/>
    <w:lvl w:ilvl="0">
      <w:start w:val="1"/>
      <w:numFmt w:val="decimal"/>
      <w:lvlText w:val="%1."/>
      <w:lvlJc w:val="left"/>
      <w:pPr>
        <w:ind w:left="743" w:hanging="360"/>
      </w:pPr>
      <w:rPr>
        <w:rFonts w:ascii="Times New Roman"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D3E6D27"/>
    <w:multiLevelType w:val="multilevel"/>
    <w:tmpl w:val="8E200C5E"/>
    <w:lvl w:ilvl="0">
      <w:start w:val="1"/>
      <w:numFmt w:val="decimal"/>
      <w:lvlText w:val="%1."/>
      <w:lvlJc w:val="left"/>
      <w:pPr>
        <w:ind w:left="743" w:hanging="360"/>
      </w:pPr>
      <w:rPr>
        <w:rFonts w:ascii="Times New Roman"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F3F0D3E"/>
    <w:multiLevelType w:val="multilevel"/>
    <w:tmpl w:val="8E200C5E"/>
    <w:lvl w:ilvl="0">
      <w:start w:val="1"/>
      <w:numFmt w:val="decimal"/>
      <w:lvlText w:val="%1."/>
      <w:lvlJc w:val="left"/>
      <w:pPr>
        <w:ind w:left="743" w:hanging="360"/>
      </w:pPr>
      <w:rPr>
        <w:rFonts w:ascii="Times New Roman"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4291781">
    <w:abstractNumId w:val="0"/>
  </w:num>
  <w:num w:numId="2" w16cid:durableId="388383225">
    <w:abstractNumId w:val="3"/>
  </w:num>
  <w:num w:numId="3" w16cid:durableId="289015050">
    <w:abstractNumId w:val="1"/>
  </w:num>
  <w:num w:numId="4" w16cid:durableId="459615532">
    <w:abstractNumId w:val="2"/>
  </w:num>
  <w:num w:numId="5" w16cid:durableId="880360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A8"/>
    <w:rsid w:val="000778CD"/>
    <w:rsid w:val="001137B9"/>
    <w:rsid w:val="00151BA3"/>
    <w:rsid w:val="00204D16"/>
    <w:rsid w:val="00266EF7"/>
    <w:rsid w:val="002817CB"/>
    <w:rsid w:val="00305FFB"/>
    <w:rsid w:val="00457C39"/>
    <w:rsid w:val="00586E87"/>
    <w:rsid w:val="00636007"/>
    <w:rsid w:val="006936A8"/>
    <w:rsid w:val="00751F10"/>
    <w:rsid w:val="0087772F"/>
    <w:rsid w:val="008846DD"/>
    <w:rsid w:val="008F3B73"/>
    <w:rsid w:val="009D759B"/>
    <w:rsid w:val="009F6BB0"/>
    <w:rsid w:val="00A30FF5"/>
    <w:rsid w:val="00A7346F"/>
    <w:rsid w:val="00AC5C95"/>
    <w:rsid w:val="00AF5DF1"/>
    <w:rsid w:val="00B35CFB"/>
    <w:rsid w:val="00B75A3B"/>
    <w:rsid w:val="00B8347F"/>
    <w:rsid w:val="00CA4BC0"/>
    <w:rsid w:val="00D36741"/>
    <w:rsid w:val="00DD7EF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238D"/>
  <w15:docId w15:val="{8B078DC7-49BF-4570-9EE7-1DB987EA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A8"/>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6936A8"/>
    <w:pPr>
      <w:keepNext/>
      <w:outlineLvl w:val="0"/>
    </w:pPr>
    <w:rPr>
      <w:b/>
      <w:bCs/>
      <w:sz w:val="18"/>
    </w:rPr>
  </w:style>
  <w:style w:type="paragraph" w:styleId="Heading2">
    <w:name w:val="heading 2"/>
    <w:basedOn w:val="Normal"/>
    <w:next w:val="Normal"/>
    <w:link w:val="Heading2Char"/>
    <w:unhideWhenUsed/>
    <w:qFormat/>
    <w:rsid w:val="006936A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6A8"/>
    <w:rPr>
      <w:rFonts w:ascii="Times New Roman" w:eastAsia="Times New Roman" w:hAnsi="Times New Roman" w:cs="Times New Roman"/>
      <w:b/>
      <w:bCs/>
      <w:sz w:val="18"/>
      <w:szCs w:val="24"/>
      <w:lang w:val="hr-HR" w:eastAsia="hr-HR"/>
    </w:rPr>
  </w:style>
  <w:style w:type="character" w:customStyle="1" w:styleId="Heading2Char">
    <w:name w:val="Heading 2 Char"/>
    <w:basedOn w:val="DefaultParagraphFont"/>
    <w:link w:val="Heading2"/>
    <w:rsid w:val="006936A8"/>
    <w:rPr>
      <w:rFonts w:ascii="Cambria" w:eastAsia="Times New Roman" w:hAnsi="Cambria" w:cs="Times New Roman"/>
      <w:b/>
      <w:bCs/>
      <w:i/>
      <w:iCs/>
      <w:sz w:val="28"/>
      <w:szCs w:val="28"/>
      <w:lang w:val="hr-HR" w:eastAsia="hr-HR"/>
    </w:rPr>
  </w:style>
  <w:style w:type="paragraph" w:styleId="ListParagraph">
    <w:name w:val="List Paragraph"/>
    <w:basedOn w:val="Normal"/>
    <w:qFormat/>
    <w:rsid w:val="006936A8"/>
    <w:pPr>
      <w:ind w:left="720"/>
      <w:contextualSpacing/>
    </w:pPr>
    <w:rPr>
      <w:rFonts w:ascii="ZapfEllipt BT" w:hAnsi="ZapfEllipt BT"/>
    </w:rPr>
  </w:style>
  <w:style w:type="paragraph" w:customStyle="1" w:styleId="Default">
    <w:name w:val="Default"/>
    <w:rsid w:val="006936A8"/>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paragraph" w:styleId="Header">
    <w:name w:val="header"/>
    <w:basedOn w:val="Normal"/>
    <w:link w:val="HeaderChar"/>
    <w:uiPriority w:val="99"/>
    <w:unhideWhenUsed/>
    <w:rsid w:val="00151BA3"/>
    <w:pPr>
      <w:tabs>
        <w:tab w:val="center" w:pos="4536"/>
        <w:tab w:val="right" w:pos="9072"/>
      </w:tabs>
    </w:pPr>
  </w:style>
  <w:style w:type="character" w:customStyle="1" w:styleId="HeaderChar">
    <w:name w:val="Header Char"/>
    <w:basedOn w:val="DefaultParagraphFont"/>
    <w:link w:val="Header"/>
    <w:uiPriority w:val="99"/>
    <w:rsid w:val="00151BA3"/>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151BA3"/>
    <w:pPr>
      <w:tabs>
        <w:tab w:val="center" w:pos="4536"/>
        <w:tab w:val="right" w:pos="9072"/>
      </w:tabs>
    </w:pPr>
  </w:style>
  <w:style w:type="character" w:customStyle="1" w:styleId="FooterChar">
    <w:name w:val="Footer Char"/>
    <w:basedOn w:val="DefaultParagraphFont"/>
    <w:link w:val="Footer"/>
    <w:uiPriority w:val="99"/>
    <w:rsid w:val="00151BA3"/>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15E6-B3C0-41F9-AB6D-EAD8DE32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Elmir Babovic</cp:lastModifiedBy>
  <cp:revision>4</cp:revision>
  <dcterms:created xsi:type="dcterms:W3CDTF">2025-12-18T00:11:00Z</dcterms:created>
  <dcterms:modified xsi:type="dcterms:W3CDTF">2025-12-18T00:16:00Z</dcterms:modified>
</cp:coreProperties>
</file>