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98"/>
        <w:gridCol w:w="4478"/>
        <w:gridCol w:w="3111"/>
      </w:tblGrid>
      <w:tr w:rsidR="00623EE0" w:rsidRPr="00276511" w14:paraId="2A57E38C" w14:textId="77777777" w:rsidTr="00155ED2">
        <w:trPr>
          <w:trHeight w:val="524"/>
        </w:trPr>
        <w:tc>
          <w:tcPr>
            <w:tcW w:w="10287" w:type="dxa"/>
            <w:gridSpan w:val="3"/>
            <w:tcBorders>
              <w:top w:val="double" w:sz="4" w:space="0" w:color="auto"/>
              <w:bottom w:val="double" w:sz="4" w:space="0" w:color="auto"/>
            </w:tcBorders>
            <w:shd w:val="clear" w:color="auto" w:fill="CCCCCC"/>
            <w:vAlign w:val="center"/>
          </w:tcPr>
          <w:p w14:paraId="7CEABDD5" w14:textId="77777777" w:rsidR="00623EE0" w:rsidRDefault="00623EE0" w:rsidP="00155ED2">
            <w:pPr>
              <w:jc w:val="center"/>
              <w:rPr>
                <w:b/>
                <w:spacing w:val="-3"/>
              </w:rPr>
            </w:pPr>
            <w:r>
              <w:rPr>
                <w:b/>
                <w:spacing w:val="-3"/>
              </w:rPr>
              <w:t xml:space="preserve">Dzemal Bijedic University of Mostar </w:t>
            </w:r>
          </w:p>
          <w:p w14:paraId="54819149" w14:textId="77777777" w:rsidR="00623EE0" w:rsidRDefault="00623EE0" w:rsidP="00155ED2">
            <w:pPr>
              <w:jc w:val="center"/>
              <w:rPr>
                <w:b/>
                <w:spacing w:val="-3"/>
              </w:rPr>
            </w:pPr>
            <w:r>
              <w:rPr>
                <w:b/>
                <w:spacing w:val="-3"/>
              </w:rPr>
              <w:t>Faculty: Agromediterranean Faculty</w:t>
            </w:r>
          </w:p>
          <w:p w14:paraId="09AF6F92" w14:textId="77777777" w:rsidR="00623EE0" w:rsidRPr="00276511" w:rsidRDefault="00623EE0" w:rsidP="00155ED2">
            <w:pPr>
              <w:jc w:val="center"/>
              <w:rPr>
                <w:b/>
                <w:spacing w:val="-3"/>
              </w:rPr>
            </w:pPr>
            <w:r>
              <w:rPr>
                <w:b/>
                <w:spacing w:val="-3"/>
              </w:rPr>
              <w:t>Department: Ecology and enviromental management in agriculture</w:t>
            </w:r>
          </w:p>
        </w:tc>
      </w:tr>
      <w:tr w:rsidR="00623EE0" w:rsidRPr="0027558B" w14:paraId="4371D6FB" w14:textId="77777777" w:rsidTr="00155ED2">
        <w:trPr>
          <w:trHeight w:val="436"/>
        </w:trPr>
        <w:tc>
          <w:tcPr>
            <w:tcW w:w="3313" w:type="dxa"/>
            <w:tcBorders>
              <w:top w:val="double" w:sz="4" w:space="0" w:color="auto"/>
              <w:bottom w:val="single" w:sz="4" w:space="0" w:color="auto"/>
              <w:right w:val="double" w:sz="4" w:space="0" w:color="auto"/>
            </w:tcBorders>
            <w:shd w:val="clear" w:color="auto" w:fill="CCCCCC"/>
            <w:vAlign w:val="center"/>
          </w:tcPr>
          <w:p w14:paraId="08C12B7C" w14:textId="77777777" w:rsidR="00623EE0" w:rsidRPr="00276511" w:rsidRDefault="00623EE0" w:rsidP="00155ED2">
            <w:pPr>
              <w:jc w:val="center"/>
              <w:rPr>
                <w:b/>
                <w:sz w:val="20"/>
                <w:szCs w:val="20"/>
              </w:rPr>
            </w:pPr>
            <w:r>
              <w:rPr>
                <w:b/>
                <w:sz w:val="20"/>
                <w:szCs w:val="20"/>
              </w:rPr>
              <w:t>Subject title:</w:t>
            </w:r>
          </w:p>
        </w:tc>
        <w:tc>
          <w:tcPr>
            <w:tcW w:w="3761" w:type="dxa"/>
            <w:tcBorders>
              <w:top w:val="double" w:sz="4" w:space="0" w:color="auto"/>
              <w:left w:val="double" w:sz="4" w:space="0" w:color="auto"/>
            </w:tcBorders>
            <w:vAlign w:val="center"/>
          </w:tcPr>
          <w:p w14:paraId="75ADDB4E" w14:textId="77777777" w:rsidR="00623EE0" w:rsidRPr="00542C0B" w:rsidRDefault="00623EE0" w:rsidP="00155ED2">
            <w:pPr>
              <w:jc w:val="center"/>
              <w:rPr>
                <w:b/>
                <w:sz w:val="20"/>
                <w:szCs w:val="20"/>
                <w:lang w:val="pl-PL"/>
              </w:rPr>
            </w:pPr>
            <w:r>
              <w:rPr>
                <w:b/>
                <w:lang w:val="pl-PL"/>
              </w:rPr>
              <w:t>L</w:t>
            </w:r>
            <w:r w:rsidRPr="004F1A49">
              <w:rPr>
                <w:b/>
                <w:lang w:val="pl-PL"/>
              </w:rPr>
              <w:t>andscape</w:t>
            </w:r>
            <w:r>
              <w:rPr>
                <w:b/>
                <w:lang w:val="pl-PL"/>
              </w:rPr>
              <w:t xml:space="preserve"> protection</w:t>
            </w:r>
          </w:p>
        </w:tc>
        <w:tc>
          <w:tcPr>
            <w:tcW w:w="3213" w:type="dxa"/>
            <w:tcBorders>
              <w:top w:val="double" w:sz="4" w:space="0" w:color="auto"/>
            </w:tcBorders>
            <w:vAlign w:val="center"/>
          </w:tcPr>
          <w:p w14:paraId="29C3466F" w14:textId="77777777" w:rsidR="00623EE0" w:rsidRPr="00542C0B" w:rsidRDefault="00623EE0" w:rsidP="00155ED2">
            <w:pPr>
              <w:pStyle w:val="Heading1"/>
              <w:jc w:val="center"/>
              <w:rPr>
                <w:b/>
                <w:sz w:val="20"/>
                <w:szCs w:val="20"/>
              </w:rPr>
            </w:pPr>
          </w:p>
        </w:tc>
      </w:tr>
      <w:tr w:rsidR="00623EE0" w:rsidRPr="0027558B" w14:paraId="2EF40E07"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0151400B" w14:textId="77777777" w:rsidR="00623EE0" w:rsidRPr="00276511" w:rsidRDefault="00623EE0" w:rsidP="00155ED2">
            <w:pPr>
              <w:jc w:val="center"/>
              <w:rPr>
                <w:b/>
                <w:sz w:val="20"/>
                <w:szCs w:val="20"/>
              </w:rPr>
            </w:pPr>
            <w:r w:rsidRPr="00F63654">
              <w:rPr>
                <w:b/>
                <w:sz w:val="20"/>
                <w:szCs w:val="20"/>
              </w:rPr>
              <w:t>Cycle level, years of study, semester</w:t>
            </w:r>
          </w:p>
        </w:tc>
        <w:tc>
          <w:tcPr>
            <w:tcW w:w="3761" w:type="dxa"/>
            <w:tcBorders>
              <w:left w:val="double" w:sz="4" w:space="0" w:color="auto"/>
            </w:tcBorders>
            <w:vAlign w:val="center"/>
          </w:tcPr>
          <w:p w14:paraId="251285D8" w14:textId="77777777" w:rsidR="00623EE0" w:rsidRPr="00542C0B" w:rsidRDefault="00623EE0" w:rsidP="00155ED2">
            <w:pPr>
              <w:jc w:val="center"/>
              <w:rPr>
                <w:sz w:val="20"/>
                <w:szCs w:val="20"/>
              </w:rPr>
            </w:pPr>
            <w:r>
              <w:rPr>
                <w:sz w:val="20"/>
                <w:szCs w:val="20"/>
              </w:rPr>
              <w:t>II, II, III</w:t>
            </w:r>
          </w:p>
        </w:tc>
        <w:tc>
          <w:tcPr>
            <w:tcW w:w="3213" w:type="dxa"/>
            <w:vAlign w:val="center"/>
          </w:tcPr>
          <w:p w14:paraId="52A56A83" w14:textId="77777777" w:rsidR="00623EE0" w:rsidRPr="00542C0B" w:rsidRDefault="00623EE0" w:rsidP="00155ED2">
            <w:pPr>
              <w:jc w:val="center"/>
              <w:rPr>
                <w:sz w:val="20"/>
                <w:szCs w:val="20"/>
              </w:rPr>
            </w:pPr>
          </w:p>
        </w:tc>
      </w:tr>
      <w:tr w:rsidR="00623EE0" w:rsidRPr="0027558B" w14:paraId="3A43B89B"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63CAEA06" w14:textId="77777777" w:rsidR="00623EE0" w:rsidRPr="00276511" w:rsidRDefault="00623EE0" w:rsidP="00155ED2">
            <w:pPr>
              <w:jc w:val="center"/>
              <w:rPr>
                <w:b/>
                <w:sz w:val="20"/>
                <w:szCs w:val="20"/>
              </w:rPr>
            </w:pPr>
            <w:r>
              <w:rPr>
                <w:b/>
                <w:sz w:val="20"/>
                <w:szCs w:val="20"/>
              </w:rPr>
              <w:t>L</w:t>
            </w:r>
            <w:r w:rsidRPr="00001346">
              <w:rPr>
                <w:b/>
                <w:sz w:val="20"/>
                <w:szCs w:val="20"/>
              </w:rPr>
              <w:t>ecturer on the subject</w:t>
            </w:r>
            <w:r w:rsidRPr="00276511">
              <w:rPr>
                <w:b/>
                <w:sz w:val="20"/>
                <w:szCs w:val="20"/>
              </w:rPr>
              <w:t>:</w:t>
            </w:r>
          </w:p>
        </w:tc>
        <w:tc>
          <w:tcPr>
            <w:tcW w:w="6974" w:type="dxa"/>
            <w:gridSpan w:val="2"/>
            <w:tcBorders>
              <w:left w:val="double" w:sz="4" w:space="0" w:color="auto"/>
            </w:tcBorders>
            <w:vAlign w:val="center"/>
          </w:tcPr>
          <w:p w14:paraId="7A80CCF4" w14:textId="77777777" w:rsidR="00623EE0" w:rsidRPr="003C57FB" w:rsidRDefault="00623EE0" w:rsidP="00155ED2">
            <w:pPr>
              <w:jc w:val="center"/>
              <w:rPr>
                <w:sz w:val="20"/>
                <w:szCs w:val="20"/>
              </w:rPr>
            </w:pPr>
            <w:r>
              <w:rPr>
                <w:sz w:val="20"/>
                <w:szCs w:val="20"/>
              </w:rPr>
              <w:t>assoc.</w:t>
            </w:r>
            <w:r w:rsidRPr="00661749">
              <w:rPr>
                <w:sz w:val="20"/>
                <w:szCs w:val="20"/>
              </w:rPr>
              <w:t>prof. Alisa Hadžiabulić</w:t>
            </w:r>
          </w:p>
        </w:tc>
      </w:tr>
      <w:tr w:rsidR="00623EE0" w:rsidRPr="0027558B" w14:paraId="745D8BA6"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530DF7D6" w14:textId="77777777" w:rsidR="00623EE0" w:rsidRPr="00276511" w:rsidRDefault="00623EE0" w:rsidP="00155ED2">
            <w:pPr>
              <w:jc w:val="center"/>
              <w:rPr>
                <w:b/>
                <w:sz w:val="20"/>
                <w:szCs w:val="20"/>
              </w:rPr>
            </w:pPr>
            <w:r w:rsidRPr="00F63654">
              <w:rPr>
                <w:b/>
                <w:sz w:val="20"/>
                <w:szCs w:val="20"/>
              </w:rPr>
              <w:t>Contact details:</w:t>
            </w:r>
          </w:p>
        </w:tc>
        <w:tc>
          <w:tcPr>
            <w:tcW w:w="6974" w:type="dxa"/>
            <w:gridSpan w:val="2"/>
            <w:tcBorders>
              <w:left w:val="double" w:sz="4" w:space="0" w:color="auto"/>
            </w:tcBorders>
            <w:vAlign w:val="center"/>
          </w:tcPr>
          <w:p w14:paraId="59E9AB4D" w14:textId="77777777" w:rsidR="00623EE0" w:rsidRPr="003C57FB" w:rsidRDefault="00623EE0" w:rsidP="00155ED2">
            <w:pPr>
              <w:jc w:val="center"/>
              <w:rPr>
                <w:spacing w:val="-3"/>
                <w:sz w:val="20"/>
                <w:szCs w:val="20"/>
              </w:rPr>
            </w:pPr>
            <w:r>
              <w:rPr>
                <w:spacing w:val="-3"/>
                <w:sz w:val="20"/>
                <w:szCs w:val="20"/>
              </w:rPr>
              <w:t>alisa.hadziabulic@unmo.ba</w:t>
            </w:r>
          </w:p>
        </w:tc>
      </w:tr>
      <w:tr w:rsidR="00623EE0" w:rsidRPr="0027558B" w14:paraId="40D04197"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43C367F9" w14:textId="77777777" w:rsidR="00623EE0" w:rsidRPr="00276511" w:rsidRDefault="00623EE0" w:rsidP="00155ED2">
            <w:pPr>
              <w:jc w:val="center"/>
              <w:rPr>
                <w:b/>
                <w:sz w:val="20"/>
                <w:szCs w:val="20"/>
              </w:rPr>
            </w:pPr>
            <w:r w:rsidRPr="00F63654">
              <w:rPr>
                <w:b/>
                <w:sz w:val="20"/>
                <w:szCs w:val="20"/>
              </w:rPr>
              <w:t>Total number of subject hours:</w:t>
            </w:r>
          </w:p>
        </w:tc>
        <w:tc>
          <w:tcPr>
            <w:tcW w:w="6974" w:type="dxa"/>
            <w:gridSpan w:val="2"/>
            <w:tcBorders>
              <w:left w:val="double" w:sz="4" w:space="0" w:color="auto"/>
            </w:tcBorders>
            <w:vAlign w:val="center"/>
          </w:tcPr>
          <w:p w14:paraId="3A78A149" w14:textId="77777777" w:rsidR="00623EE0" w:rsidRPr="003C57FB" w:rsidRDefault="00623EE0" w:rsidP="00155ED2">
            <w:pPr>
              <w:jc w:val="center"/>
              <w:rPr>
                <w:sz w:val="20"/>
                <w:szCs w:val="20"/>
              </w:rPr>
            </w:pPr>
            <w:r>
              <w:rPr>
                <w:sz w:val="20"/>
                <w:szCs w:val="20"/>
              </w:rPr>
              <w:t>45 + 15</w:t>
            </w:r>
          </w:p>
        </w:tc>
      </w:tr>
      <w:tr w:rsidR="00623EE0" w:rsidRPr="0027558B" w14:paraId="74DE60C8"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1071100E" w14:textId="77777777" w:rsidR="00623EE0" w:rsidRPr="00276511" w:rsidRDefault="00623EE0" w:rsidP="00155ED2">
            <w:pPr>
              <w:jc w:val="center"/>
              <w:rPr>
                <w:b/>
                <w:sz w:val="20"/>
                <w:szCs w:val="20"/>
              </w:rPr>
            </w:pPr>
            <w:r>
              <w:rPr>
                <w:b/>
                <w:sz w:val="20"/>
                <w:szCs w:val="20"/>
              </w:rPr>
              <w:t>Credit value</w:t>
            </w:r>
            <w:r w:rsidRPr="00276511">
              <w:rPr>
                <w:b/>
                <w:sz w:val="20"/>
                <w:szCs w:val="20"/>
              </w:rPr>
              <w:t xml:space="preserve"> ECTS-a:</w:t>
            </w:r>
          </w:p>
        </w:tc>
        <w:tc>
          <w:tcPr>
            <w:tcW w:w="6974" w:type="dxa"/>
            <w:gridSpan w:val="2"/>
            <w:tcBorders>
              <w:left w:val="double" w:sz="4" w:space="0" w:color="auto"/>
            </w:tcBorders>
            <w:vAlign w:val="center"/>
          </w:tcPr>
          <w:p w14:paraId="5C81A687" w14:textId="77777777" w:rsidR="00623EE0" w:rsidRPr="003C57FB" w:rsidRDefault="00623EE0" w:rsidP="00155ED2">
            <w:pPr>
              <w:jc w:val="center"/>
              <w:rPr>
                <w:sz w:val="20"/>
                <w:szCs w:val="20"/>
              </w:rPr>
            </w:pPr>
            <w:r>
              <w:rPr>
                <w:sz w:val="20"/>
                <w:szCs w:val="20"/>
              </w:rPr>
              <w:t>6</w:t>
            </w:r>
          </w:p>
        </w:tc>
      </w:tr>
      <w:tr w:rsidR="00623EE0" w:rsidRPr="0027558B" w14:paraId="17B8B415"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1233CD66" w14:textId="77777777" w:rsidR="00623EE0" w:rsidRPr="00276511" w:rsidRDefault="00623EE0" w:rsidP="00155ED2">
            <w:pPr>
              <w:jc w:val="center"/>
              <w:rPr>
                <w:b/>
                <w:sz w:val="20"/>
                <w:szCs w:val="20"/>
              </w:rPr>
            </w:pPr>
            <w:r>
              <w:rPr>
                <w:b/>
                <w:sz w:val="20"/>
                <w:szCs w:val="20"/>
              </w:rPr>
              <w:t>Basic</w:t>
            </w:r>
            <w:r w:rsidRPr="00F63654">
              <w:rPr>
                <w:b/>
                <w:sz w:val="20"/>
                <w:szCs w:val="20"/>
              </w:rPr>
              <w:t xml:space="preserve"> Qualification</w:t>
            </w:r>
            <w:r>
              <w:rPr>
                <w:b/>
                <w:sz w:val="20"/>
                <w:szCs w:val="20"/>
              </w:rPr>
              <w:t>:</w:t>
            </w:r>
          </w:p>
        </w:tc>
        <w:tc>
          <w:tcPr>
            <w:tcW w:w="6974" w:type="dxa"/>
            <w:gridSpan w:val="2"/>
            <w:tcBorders>
              <w:left w:val="double" w:sz="4" w:space="0" w:color="auto"/>
            </w:tcBorders>
            <w:vAlign w:val="center"/>
          </w:tcPr>
          <w:p w14:paraId="685B7587" w14:textId="77777777" w:rsidR="00623EE0" w:rsidRPr="003C57FB" w:rsidRDefault="00623EE0" w:rsidP="00155ED2">
            <w:pPr>
              <w:rPr>
                <w:sz w:val="20"/>
                <w:szCs w:val="20"/>
              </w:rPr>
            </w:pPr>
          </w:p>
        </w:tc>
      </w:tr>
      <w:tr w:rsidR="00623EE0" w:rsidRPr="0027558B" w14:paraId="5448FABA"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23E13CA8" w14:textId="77777777" w:rsidR="00623EE0" w:rsidRPr="00276511" w:rsidRDefault="00623EE0" w:rsidP="00155ED2">
            <w:pPr>
              <w:jc w:val="center"/>
              <w:rPr>
                <w:b/>
                <w:sz w:val="20"/>
                <w:szCs w:val="20"/>
              </w:rPr>
            </w:pPr>
            <w:r>
              <w:rPr>
                <w:b/>
                <w:sz w:val="20"/>
                <w:szCs w:val="20"/>
              </w:rPr>
              <w:t>Subject s</w:t>
            </w:r>
            <w:r w:rsidRPr="00276511">
              <w:rPr>
                <w:b/>
                <w:sz w:val="20"/>
                <w:szCs w:val="20"/>
              </w:rPr>
              <w:t>tatus:</w:t>
            </w:r>
          </w:p>
        </w:tc>
        <w:tc>
          <w:tcPr>
            <w:tcW w:w="6974" w:type="dxa"/>
            <w:gridSpan w:val="2"/>
            <w:tcBorders>
              <w:left w:val="double" w:sz="4" w:space="0" w:color="auto"/>
            </w:tcBorders>
            <w:vAlign w:val="center"/>
          </w:tcPr>
          <w:p w14:paraId="12E0C742" w14:textId="77777777" w:rsidR="00623EE0" w:rsidRPr="003C57FB" w:rsidRDefault="00623EE0" w:rsidP="00155ED2">
            <w:pPr>
              <w:jc w:val="center"/>
              <w:rPr>
                <w:sz w:val="20"/>
                <w:szCs w:val="20"/>
              </w:rPr>
            </w:pPr>
            <w:r>
              <w:rPr>
                <w:sz w:val="20"/>
                <w:szCs w:val="20"/>
              </w:rPr>
              <w:t>obligatory</w:t>
            </w:r>
          </w:p>
        </w:tc>
      </w:tr>
      <w:tr w:rsidR="00623EE0" w:rsidRPr="0027558B" w14:paraId="2EB5C990"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0EC7A3EA" w14:textId="77777777" w:rsidR="00623EE0" w:rsidRPr="00276511" w:rsidRDefault="00623EE0" w:rsidP="00155ED2">
            <w:pPr>
              <w:jc w:val="center"/>
              <w:rPr>
                <w:b/>
                <w:sz w:val="20"/>
                <w:szCs w:val="20"/>
              </w:rPr>
            </w:pPr>
            <w:r w:rsidRPr="00DA0034">
              <w:rPr>
                <w:b/>
                <w:sz w:val="20"/>
                <w:szCs w:val="20"/>
              </w:rPr>
              <w:t>Preliminary Examination Obligations</w:t>
            </w:r>
          </w:p>
        </w:tc>
        <w:tc>
          <w:tcPr>
            <w:tcW w:w="6974" w:type="dxa"/>
            <w:gridSpan w:val="2"/>
            <w:tcBorders>
              <w:left w:val="double" w:sz="4" w:space="0" w:color="auto"/>
            </w:tcBorders>
            <w:vAlign w:val="center"/>
          </w:tcPr>
          <w:p w14:paraId="1BE80288" w14:textId="77777777" w:rsidR="00623EE0" w:rsidRPr="003C57FB" w:rsidRDefault="00623EE0" w:rsidP="00155ED2">
            <w:pPr>
              <w:jc w:val="center"/>
              <w:rPr>
                <w:sz w:val="20"/>
                <w:szCs w:val="20"/>
              </w:rPr>
            </w:pPr>
            <w:r>
              <w:rPr>
                <w:sz w:val="20"/>
                <w:szCs w:val="20"/>
              </w:rPr>
              <w:t>no</w:t>
            </w:r>
          </w:p>
        </w:tc>
      </w:tr>
      <w:tr w:rsidR="00623EE0" w:rsidRPr="0027558B" w14:paraId="7B76979D" w14:textId="77777777" w:rsidTr="00155ED2">
        <w:trPr>
          <w:trHeight w:val="364"/>
        </w:trPr>
        <w:tc>
          <w:tcPr>
            <w:tcW w:w="3313" w:type="dxa"/>
            <w:tcBorders>
              <w:top w:val="single" w:sz="4" w:space="0" w:color="auto"/>
              <w:bottom w:val="single" w:sz="4" w:space="0" w:color="auto"/>
              <w:right w:val="double" w:sz="4" w:space="0" w:color="auto"/>
            </w:tcBorders>
            <w:shd w:val="clear" w:color="auto" w:fill="CCCCCC"/>
            <w:vAlign w:val="center"/>
          </w:tcPr>
          <w:p w14:paraId="0F026EF5" w14:textId="77777777" w:rsidR="00623EE0" w:rsidRPr="00276511" w:rsidRDefault="00623EE0" w:rsidP="00155ED2">
            <w:pPr>
              <w:jc w:val="center"/>
              <w:rPr>
                <w:b/>
                <w:sz w:val="20"/>
                <w:szCs w:val="20"/>
              </w:rPr>
            </w:pPr>
            <w:r w:rsidRPr="00DA0034">
              <w:rPr>
                <w:b/>
                <w:sz w:val="20"/>
                <w:szCs w:val="20"/>
              </w:rPr>
              <w:t>Access limitations on the subject:</w:t>
            </w:r>
          </w:p>
        </w:tc>
        <w:tc>
          <w:tcPr>
            <w:tcW w:w="6974" w:type="dxa"/>
            <w:gridSpan w:val="2"/>
            <w:tcBorders>
              <w:left w:val="double" w:sz="4" w:space="0" w:color="auto"/>
            </w:tcBorders>
            <w:vAlign w:val="center"/>
          </w:tcPr>
          <w:p w14:paraId="6B677814" w14:textId="77777777" w:rsidR="00623EE0" w:rsidRPr="003C57FB" w:rsidRDefault="00623EE0" w:rsidP="00155ED2">
            <w:pPr>
              <w:jc w:val="center"/>
              <w:rPr>
                <w:sz w:val="20"/>
                <w:szCs w:val="20"/>
              </w:rPr>
            </w:pPr>
            <w:r>
              <w:rPr>
                <w:sz w:val="20"/>
                <w:szCs w:val="20"/>
              </w:rPr>
              <w:t>no</w:t>
            </w:r>
          </w:p>
        </w:tc>
      </w:tr>
      <w:tr w:rsidR="00623EE0" w:rsidRPr="0027558B" w14:paraId="663970E4"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0FA36816" w14:textId="77777777" w:rsidR="00623EE0" w:rsidRPr="00276511" w:rsidRDefault="00623EE0" w:rsidP="00155ED2">
            <w:pPr>
              <w:jc w:val="center"/>
              <w:rPr>
                <w:b/>
                <w:sz w:val="20"/>
                <w:szCs w:val="20"/>
              </w:rPr>
            </w:pPr>
            <w:r>
              <w:rPr>
                <w:b/>
                <w:sz w:val="20"/>
                <w:szCs w:val="20"/>
              </w:rPr>
              <w:t>E</w:t>
            </w:r>
            <w:r w:rsidRPr="00DA0034">
              <w:rPr>
                <w:b/>
                <w:sz w:val="20"/>
                <w:szCs w:val="20"/>
              </w:rPr>
              <w:t>xplanation</w:t>
            </w:r>
            <w:r>
              <w:rPr>
                <w:b/>
                <w:sz w:val="20"/>
                <w:szCs w:val="20"/>
              </w:rPr>
              <w:t xml:space="preserve"> of ECTS value:</w:t>
            </w:r>
          </w:p>
        </w:tc>
        <w:tc>
          <w:tcPr>
            <w:tcW w:w="6974" w:type="dxa"/>
            <w:gridSpan w:val="2"/>
            <w:tcBorders>
              <w:left w:val="double" w:sz="4" w:space="0" w:color="auto"/>
            </w:tcBorders>
            <w:vAlign w:val="center"/>
          </w:tcPr>
          <w:tbl>
            <w:tblPr>
              <w:tblW w:w="71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434"/>
              <w:gridCol w:w="2409"/>
              <w:gridCol w:w="2285"/>
            </w:tblGrid>
            <w:tr w:rsidR="00623EE0" w:rsidRPr="002D6D61" w14:paraId="47ABFC7C" w14:textId="77777777" w:rsidTr="00155ED2">
              <w:trPr>
                <w:trHeight w:val="278"/>
              </w:trPr>
              <w:tc>
                <w:tcPr>
                  <w:tcW w:w="1707" w:type="pct"/>
                  <w:tcBorders>
                    <w:top w:val="single" w:sz="4" w:space="0" w:color="auto"/>
                    <w:left w:val="double" w:sz="4" w:space="0" w:color="auto"/>
                    <w:bottom w:val="single" w:sz="4" w:space="0" w:color="auto"/>
                    <w:right w:val="single" w:sz="4" w:space="0" w:color="auto"/>
                  </w:tcBorders>
                  <w:vAlign w:val="center"/>
                  <w:hideMark/>
                </w:tcPr>
                <w:p w14:paraId="0ADCC5D3" w14:textId="77777777" w:rsidR="00623EE0" w:rsidRPr="002D6D61" w:rsidRDefault="00623EE0" w:rsidP="00155ED2">
                  <w:pPr>
                    <w:rPr>
                      <w:rFonts w:eastAsia="Calibri"/>
                      <w:sz w:val="18"/>
                      <w:szCs w:val="18"/>
                    </w:rPr>
                  </w:pPr>
                  <w:r>
                    <w:rPr>
                      <w:rFonts w:eastAsia="Calibri"/>
                      <w:sz w:val="18"/>
                      <w:szCs w:val="18"/>
                    </w:rPr>
                    <w:t>Contact hours</w:t>
                  </w:r>
                  <w:r w:rsidRPr="002D6D61">
                    <w:rPr>
                      <w:rFonts w:eastAsia="Calibri"/>
                      <w:sz w:val="18"/>
                      <w:szCs w:val="18"/>
                    </w:rPr>
                    <w:t>: 75</w:t>
                  </w:r>
                </w:p>
              </w:tc>
              <w:tc>
                <w:tcPr>
                  <w:tcW w:w="1690" w:type="pct"/>
                  <w:tcBorders>
                    <w:top w:val="single" w:sz="4" w:space="0" w:color="auto"/>
                    <w:left w:val="double" w:sz="4" w:space="0" w:color="auto"/>
                    <w:bottom w:val="single" w:sz="4" w:space="0" w:color="auto"/>
                    <w:right w:val="single" w:sz="4" w:space="0" w:color="auto"/>
                  </w:tcBorders>
                  <w:vAlign w:val="center"/>
                  <w:hideMark/>
                </w:tcPr>
                <w:p w14:paraId="529DDB1C" w14:textId="77777777" w:rsidR="00623EE0" w:rsidRPr="002D6D61" w:rsidRDefault="00623EE0" w:rsidP="00155ED2">
                  <w:pPr>
                    <w:rPr>
                      <w:rFonts w:eastAsia="Calibri"/>
                      <w:sz w:val="18"/>
                      <w:szCs w:val="18"/>
                    </w:rPr>
                  </w:pPr>
                  <w:r w:rsidRPr="002D6D61">
                    <w:rPr>
                      <w:rFonts w:eastAsia="Calibri"/>
                      <w:sz w:val="18"/>
                      <w:szCs w:val="18"/>
                    </w:rPr>
                    <w:t>Pra</w:t>
                  </w:r>
                  <w:r>
                    <w:rPr>
                      <w:rFonts w:eastAsia="Calibri"/>
                      <w:sz w:val="18"/>
                      <w:szCs w:val="18"/>
                    </w:rPr>
                    <w:t>ctical wok</w:t>
                  </w:r>
                  <w:r w:rsidRPr="002D6D61">
                    <w:rPr>
                      <w:rFonts w:eastAsia="Calibri"/>
                      <w:sz w:val="18"/>
                      <w:szCs w:val="18"/>
                    </w:rPr>
                    <w:t xml:space="preserve">: </w:t>
                  </w:r>
                </w:p>
              </w:tc>
              <w:tc>
                <w:tcPr>
                  <w:tcW w:w="1603" w:type="pct"/>
                  <w:tcBorders>
                    <w:top w:val="single" w:sz="4" w:space="0" w:color="auto"/>
                    <w:left w:val="double" w:sz="4" w:space="0" w:color="auto"/>
                    <w:bottom w:val="single" w:sz="4" w:space="0" w:color="auto"/>
                    <w:right w:val="double" w:sz="4" w:space="0" w:color="auto"/>
                  </w:tcBorders>
                  <w:vAlign w:val="center"/>
                  <w:hideMark/>
                </w:tcPr>
                <w:p w14:paraId="0CEBA880" w14:textId="77777777" w:rsidR="00623EE0" w:rsidRPr="002D6D61" w:rsidRDefault="00623EE0" w:rsidP="00155ED2">
                  <w:pPr>
                    <w:rPr>
                      <w:rFonts w:eastAsia="Calibri"/>
                      <w:sz w:val="18"/>
                      <w:szCs w:val="18"/>
                    </w:rPr>
                  </w:pPr>
                  <w:r>
                    <w:rPr>
                      <w:rFonts w:eastAsia="Calibri"/>
                      <w:sz w:val="18"/>
                      <w:szCs w:val="18"/>
                    </w:rPr>
                    <w:t>Esseys</w:t>
                  </w:r>
                  <w:r w:rsidRPr="002D6D61">
                    <w:rPr>
                      <w:rFonts w:eastAsia="Calibri"/>
                      <w:sz w:val="18"/>
                      <w:szCs w:val="18"/>
                    </w:rPr>
                    <w:t>: 20</w:t>
                  </w:r>
                </w:p>
              </w:tc>
            </w:tr>
            <w:tr w:rsidR="00623EE0" w:rsidRPr="002D6D61" w14:paraId="6041B5F1" w14:textId="77777777" w:rsidTr="00155ED2">
              <w:trPr>
                <w:trHeight w:val="278"/>
              </w:trPr>
              <w:tc>
                <w:tcPr>
                  <w:tcW w:w="1707" w:type="pct"/>
                  <w:tcBorders>
                    <w:top w:val="single" w:sz="4" w:space="0" w:color="auto"/>
                    <w:left w:val="double" w:sz="4" w:space="0" w:color="auto"/>
                    <w:bottom w:val="single" w:sz="4" w:space="0" w:color="auto"/>
                    <w:right w:val="single" w:sz="4" w:space="0" w:color="auto"/>
                  </w:tcBorders>
                  <w:vAlign w:val="center"/>
                  <w:hideMark/>
                </w:tcPr>
                <w:p w14:paraId="2C01ED8D" w14:textId="77777777" w:rsidR="00623EE0" w:rsidRPr="002D6D61" w:rsidRDefault="00623EE0" w:rsidP="00155ED2">
                  <w:pPr>
                    <w:rPr>
                      <w:rFonts w:eastAsia="Calibri"/>
                      <w:sz w:val="18"/>
                      <w:szCs w:val="18"/>
                    </w:rPr>
                  </w:pPr>
                  <w:r w:rsidRPr="002D6D61">
                    <w:rPr>
                      <w:rFonts w:eastAsia="Calibri"/>
                      <w:sz w:val="18"/>
                      <w:szCs w:val="18"/>
                    </w:rPr>
                    <w:t>Literatur</w:t>
                  </w:r>
                  <w:r>
                    <w:rPr>
                      <w:rFonts w:eastAsia="Calibri"/>
                      <w:sz w:val="18"/>
                      <w:szCs w:val="18"/>
                    </w:rPr>
                    <w:t>e</w:t>
                  </w:r>
                  <w:r w:rsidRPr="002D6D61">
                    <w:rPr>
                      <w:rFonts w:eastAsia="Calibri"/>
                      <w:sz w:val="18"/>
                      <w:szCs w:val="18"/>
                    </w:rPr>
                    <w:t>: 20</w:t>
                  </w:r>
                </w:p>
              </w:tc>
              <w:tc>
                <w:tcPr>
                  <w:tcW w:w="1690" w:type="pct"/>
                  <w:tcBorders>
                    <w:top w:val="single" w:sz="4" w:space="0" w:color="auto"/>
                    <w:left w:val="double" w:sz="4" w:space="0" w:color="auto"/>
                    <w:bottom w:val="single" w:sz="4" w:space="0" w:color="auto"/>
                    <w:right w:val="single" w:sz="4" w:space="0" w:color="auto"/>
                  </w:tcBorders>
                  <w:vAlign w:val="center"/>
                  <w:hideMark/>
                </w:tcPr>
                <w:p w14:paraId="6102FF28" w14:textId="77777777" w:rsidR="00623EE0" w:rsidRPr="002D6D61" w:rsidRDefault="00623EE0" w:rsidP="00155ED2">
                  <w:pPr>
                    <w:rPr>
                      <w:rFonts w:eastAsia="Calibri"/>
                      <w:sz w:val="18"/>
                      <w:szCs w:val="18"/>
                    </w:rPr>
                  </w:pPr>
                  <w:r w:rsidRPr="002D6D61">
                    <w:rPr>
                      <w:rFonts w:eastAsia="Calibri"/>
                      <w:sz w:val="18"/>
                      <w:szCs w:val="18"/>
                    </w:rPr>
                    <w:t xml:space="preserve">Seminarski/Case study: </w:t>
                  </w:r>
                </w:p>
              </w:tc>
              <w:tc>
                <w:tcPr>
                  <w:tcW w:w="1603" w:type="pct"/>
                  <w:tcBorders>
                    <w:top w:val="single" w:sz="4" w:space="0" w:color="auto"/>
                    <w:left w:val="double" w:sz="4" w:space="0" w:color="auto"/>
                    <w:bottom w:val="single" w:sz="4" w:space="0" w:color="auto"/>
                    <w:right w:val="double" w:sz="4" w:space="0" w:color="auto"/>
                  </w:tcBorders>
                  <w:vAlign w:val="center"/>
                  <w:hideMark/>
                </w:tcPr>
                <w:p w14:paraId="4B037F91" w14:textId="77777777" w:rsidR="00623EE0" w:rsidRPr="002D6D61" w:rsidRDefault="00623EE0" w:rsidP="00155ED2">
                  <w:pPr>
                    <w:rPr>
                      <w:rFonts w:eastAsia="Calibri"/>
                      <w:sz w:val="18"/>
                      <w:szCs w:val="18"/>
                    </w:rPr>
                  </w:pPr>
                  <w:r>
                    <w:rPr>
                      <w:rFonts w:eastAsia="Calibri"/>
                      <w:sz w:val="18"/>
                      <w:szCs w:val="18"/>
                    </w:rPr>
                    <w:t>Exam preparaton</w:t>
                  </w:r>
                  <w:r w:rsidRPr="002D6D61">
                    <w:rPr>
                      <w:rFonts w:eastAsia="Calibri"/>
                      <w:sz w:val="18"/>
                      <w:szCs w:val="18"/>
                    </w:rPr>
                    <w:t>:35</w:t>
                  </w:r>
                </w:p>
              </w:tc>
            </w:tr>
            <w:tr w:rsidR="00623EE0" w:rsidRPr="002D6D61" w14:paraId="2E1F92B7" w14:textId="77777777" w:rsidTr="00155ED2">
              <w:trPr>
                <w:trHeight w:val="278"/>
              </w:trPr>
              <w:tc>
                <w:tcPr>
                  <w:tcW w:w="1707" w:type="pct"/>
                  <w:tcBorders>
                    <w:top w:val="single" w:sz="4" w:space="0" w:color="auto"/>
                    <w:left w:val="double" w:sz="4" w:space="0" w:color="auto"/>
                    <w:bottom w:val="single" w:sz="4" w:space="0" w:color="auto"/>
                    <w:right w:val="single" w:sz="4" w:space="0" w:color="auto"/>
                  </w:tcBorders>
                  <w:vAlign w:val="center"/>
                  <w:hideMark/>
                </w:tcPr>
                <w:p w14:paraId="53EDB757" w14:textId="77777777" w:rsidR="00623EE0" w:rsidRPr="002D6D61" w:rsidRDefault="00623EE0" w:rsidP="00155ED2">
                  <w:pPr>
                    <w:rPr>
                      <w:rFonts w:eastAsia="Calibri"/>
                      <w:sz w:val="18"/>
                      <w:szCs w:val="18"/>
                    </w:rPr>
                  </w:pPr>
                  <w:r w:rsidRPr="002D6D61">
                    <w:rPr>
                      <w:rFonts w:eastAsia="Calibri"/>
                      <w:sz w:val="18"/>
                      <w:szCs w:val="18"/>
                    </w:rPr>
                    <w:t>Ostalo:</w:t>
                  </w:r>
                </w:p>
              </w:tc>
              <w:tc>
                <w:tcPr>
                  <w:tcW w:w="1690" w:type="pct"/>
                  <w:tcBorders>
                    <w:top w:val="single" w:sz="4" w:space="0" w:color="auto"/>
                    <w:left w:val="double" w:sz="4" w:space="0" w:color="auto"/>
                    <w:bottom w:val="single" w:sz="4" w:space="0" w:color="auto"/>
                    <w:right w:val="single" w:sz="4" w:space="0" w:color="auto"/>
                  </w:tcBorders>
                  <w:vAlign w:val="center"/>
                  <w:hideMark/>
                </w:tcPr>
                <w:p w14:paraId="619F67CF" w14:textId="77777777" w:rsidR="00623EE0" w:rsidRPr="002D6D61" w:rsidRDefault="00623EE0" w:rsidP="00155ED2">
                  <w:pPr>
                    <w:rPr>
                      <w:rFonts w:eastAsia="Calibri"/>
                      <w:sz w:val="18"/>
                      <w:szCs w:val="18"/>
                    </w:rPr>
                  </w:pPr>
                  <w:r>
                    <w:rPr>
                      <w:rFonts w:eastAsia="Calibri"/>
                      <w:sz w:val="18"/>
                      <w:szCs w:val="18"/>
                    </w:rPr>
                    <w:t>Total student effort</w:t>
                  </w:r>
                  <w:r w:rsidRPr="002D6D61">
                    <w:rPr>
                      <w:rFonts w:eastAsia="Calibri"/>
                      <w:sz w:val="18"/>
                      <w:szCs w:val="18"/>
                    </w:rPr>
                    <w:t>: 150</w:t>
                  </w:r>
                </w:p>
              </w:tc>
              <w:tc>
                <w:tcPr>
                  <w:tcW w:w="1603" w:type="pct"/>
                  <w:tcBorders>
                    <w:top w:val="single" w:sz="4" w:space="0" w:color="auto"/>
                    <w:left w:val="double" w:sz="4" w:space="0" w:color="auto"/>
                    <w:bottom w:val="single" w:sz="4" w:space="0" w:color="auto"/>
                    <w:right w:val="double" w:sz="4" w:space="0" w:color="auto"/>
                  </w:tcBorders>
                  <w:vAlign w:val="center"/>
                </w:tcPr>
                <w:p w14:paraId="3B5E5CEC" w14:textId="77777777" w:rsidR="00623EE0" w:rsidRPr="002D6D61" w:rsidRDefault="00623EE0" w:rsidP="00155ED2">
                  <w:pPr>
                    <w:rPr>
                      <w:rFonts w:eastAsia="Calibri"/>
                      <w:sz w:val="18"/>
                      <w:szCs w:val="18"/>
                    </w:rPr>
                  </w:pPr>
                </w:p>
              </w:tc>
            </w:tr>
          </w:tbl>
          <w:p w14:paraId="0C4C4D2D" w14:textId="77777777" w:rsidR="00623EE0" w:rsidRPr="00276511" w:rsidRDefault="00623EE0" w:rsidP="00155ED2">
            <w:pPr>
              <w:jc w:val="center"/>
              <w:rPr>
                <w:sz w:val="20"/>
                <w:szCs w:val="20"/>
              </w:rPr>
            </w:pPr>
          </w:p>
        </w:tc>
      </w:tr>
      <w:tr w:rsidR="00623EE0" w:rsidRPr="003526D2" w14:paraId="2BCF8A26"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44ACC7D9" w14:textId="77777777" w:rsidR="00623EE0" w:rsidRPr="00DA0034" w:rsidRDefault="00623EE0" w:rsidP="00155ED2">
            <w:pPr>
              <w:jc w:val="center"/>
              <w:rPr>
                <w:b/>
                <w:sz w:val="20"/>
                <w:szCs w:val="20"/>
              </w:rPr>
            </w:pPr>
            <w:r>
              <w:rPr>
                <w:b/>
                <w:sz w:val="20"/>
                <w:szCs w:val="20"/>
              </w:rPr>
              <w:t>Subject</w:t>
            </w:r>
            <w:r w:rsidRPr="00DA0034">
              <w:rPr>
                <w:b/>
                <w:sz w:val="20"/>
                <w:szCs w:val="20"/>
              </w:rPr>
              <w:t xml:space="preserve"> goal:</w:t>
            </w:r>
          </w:p>
        </w:tc>
        <w:tc>
          <w:tcPr>
            <w:tcW w:w="6974" w:type="dxa"/>
            <w:gridSpan w:val="2"/>
            <w:tcBorders>
              <w:left w:val="double" w:sz="4" w:space="0" w:color="auto"/>
            </w:tcBorders>
          </w:tcPr>
          <w:p w14:paraId="337BB4B0" w14:textId="77777777" w:rsidR="00623EE0" w:rsidRPr="00AD5D0E" w:rsidRDefault="00623EE0" w:rsidP="00155ED2">
            <w:pPr>
              <w:autoSpaceDE w:val="0"/>
              <w:autoSpaceDN w:val="0"/>
              <w:adjustRightInd w:val="0"/>
              <w:rPr>
                <w:rFonts w:ascii="TimesNewRomanPSMT" w:hAnsi="TimesNewRomanPSMT" w:cs="TimesNewRomanPSMT"/>
                <w:sz w:val="20"/>
                <w:szCs w:val="20"/>
                <w:lang w:eastAsia="bs-Latn-BA"/>
              </w:rPr>
            </w:pPr>
            <w:r w:rsidRPr="00954E2E">
              <w:rPr>
                <w:sz w:val="20"/>
                <w:szCs w:val="20"/>
              </w:rPr>
              <w:t>Getting to know the basic terms of landscape ecology, getting to know the basic terms of rural and urban ecology, alternative production technologies in flower production, expanding already acquired knowledge from related fields</w:t>
            </w:r>
          </w:p>
        </w:tc>
      </w:tr>
      <w:tr w:rsidR="00623EE0" w:rsidRPr="0027558B" w14:paraId="6369B35C"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53F38ED9" w14:textId="77777777" w:rsidR="00623EE0" w:rsidRPr="00AB4219" w:rsidRDefault="00623EE0" w:rsidP="00155ED2">
            <w:pPr>
              <w:jc w:val="center"/>
              <w:rPr>
                <w:b/>
                <w:sz w:val="20"/>
                <w:szCs w:val="20"/>
                <w:highlight w:val="yellow"/>
              </w:rPr>
            </w:pPr>
            <w:r w:rsidRPr="00DA0034">
              <w:rPr>
                <w:b/>
                <w:sz w:val="20"/>
                <w:szCs w:val="20"/>
              </w:rPr>
              <w:t>Description of general and specific competences (knowledge and skills) / learning outcomes</w:t>
            </w:r>
          </w:p>
        </w:tc>
        <w:tc>
          <w:tcPr>
            <w:tcW w:w="6974" w:type="dxa"/>
            <w:gridSpan w:val="2"/>
            <w:tcBorders>
              <w:left w:val="double" w:sz="4" w:space="0" w:color="auto"/>
            </w:tcBorders>
            <w:vAlign w:val="center"/>
          </w:tcPr>
          <w:p w14:paraId="41BBF9C4" w14:textId="77777777" w:rsidR="00623EE0" w:rsidRPr="00AD5D0E" w:rsidRDefault="00623EE0" w:rsidP="00155ED2">
            <w:pPr>
              <w:autoSpaceDE w:val="0"/>
              <w:autoSpaceDN w:val="0"/>
              <w:adjustRightInd w:val="0"/>
              <w:rPr>
                <w:sz w:val="20"/>
                <w:szCs w:val="20"/>
                <w:lang w:eastAsia="bs-Latn-BA"/>
              </w:rPr>
            </w:pPr>
            <w:r w:rsidRPr="00DD3C98">
              <w:rPr>
                <w:color w:val="000000"/>
                <w:sz w:val="20"/>
                <w:szCs w:val="20"/>
                <w:lang w:eastAsia="bs-Latn-BA"/>
              </w:rPr>
              <w:t xml:space="preserve">Upon the completion, the students will be able to </w:t>
            </w:r>
            <w:r>
              <w:rPr>
                <w:color w:val="000000"/>
                <w:sz w:val="20"/>
                <w:szCs w:val="20"/>
                <w:lang w:eastAsia="bs-Latn-BA"/>
              </w:rPr>
              <w:t>a</w:t>
            </w:r>
            <w:r>
              <w:rPr>
                <w:sz w:val="20"/>
                <w:szCs w:val="20"/>
                <w:lang w:eastAsia="bs-Latn-BA"/>
              </w:rPr>
              <w:t>ccept ecological approach in spatial planning, identification of main elements of natural landscape and its protection. They will be capable to use eco methods in spatial forming, they will be familiar with alternative technologies and their using possibilities in production.</w:t>
            </w:r>
          </w:p>
        </w:tc>
      </w:tr>
      <w:tr w:rsidR="00623EE0" w:rsidRPr="0027558B" w14:paraId="67E52422"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6912C47C" w14:textId="77777777" w:rsidR="00623EE0" w:rsidRPr="00276511" w:rsidRDefault="00623EE0" w:rsidP="00155ED2">
            <w:pPr>
              <w:jc w:val="center"/>
              <w:rPr>
                <w:b/>
                <w:sz w:val="20"/>
                <w:szCs w:val="20"/>
              </w:rPr>
            </w:pPr>
            <w:r w:rsidRPr="00DA0034">
              <w:rPr>
                <w:b/>
                <w:sz w:val="20"/>
                <w:szCs w:val="20"/>
              </w:rPr>
              <w:t>Course content:</w:t>
            </w:r>
          </w:p>
        </w:tc>
        <w:tc>
          <w:tcPr>
            <w:tcW w:w="6974" w:type="dxa"/>
            <w:gridSpan w:val="2"/>
            <w:tcBorders>
              <w:left w:val="double" w:sz="4" w:space="0" w:color="auto"/>
            </w:tcBorders>
          </w:tcPr>
          <w:p w14:paraId="1008B0C0" w14:textId="77777777" w:rsidR="00623EE0" w:rsidRPr="00446D39" w:rsidRDefault="00623EE0" w:rsidP="00155ED2">
            <w:pPr>
              <w:jc w:val="both"/>
              <w:rPr>
                <w:rStyle w:val="fontstyle01"/>
                <w:rFonts w:eastAsiaTheme="majorEastAsia"/>
                <w:sz w:val="20"/>
                <w:szCs w:val="20"/>
              </w:rPr>
            </w:pPr>
            <w:r w:rsidRPr="00446D39">
              <w:rPr>
                <w:rStyle w:val="fontstyle01"/>
                <w:rFonts w:eastAsiaTheme="majorEastAsia"/>
                <w:sz w:val="20"/>
                <w:szCs w:val="20"/>
              </w:rPr>
              <w:t>Landscape complexity, characteristics of the natural system and cultural landscapes</w:t>
            </w:r>
          </w:p>
          <w:p w14:paraId="38717836" w14:textId="77777777" w:rsidR="00623EE0" w:rsidRPr="00446D39" w:rsidRDefault="00623EE0" w:rsidP="00155ED2">
            <w:pPr>
              <w:jc w:val="both"/>
              <w:rPr>
                <w:rStyle w:val="fontstyle01"/>
                <w:rFonts w:eastAsiaTheme="majorEastAsia"/>
                <w:sz w:val="20"/>
                <w:szCs w:val="20"/>
              </w:rPr>
            </w:pPr>
            <w:r w:rsidRPr="00446D39">
              <w:rPr>
                <w:rStyle w:val="fontstyle01"/>
                <w:rFonts w:eastAsiaTheme="majorEastAsia"/>
                <w:sz w:val="20"/>
                <w:szCs w:val="20"/>
              </w:rPr>
              <w:t>2. Legislation in landscape protection, general and special protection measures</w:t>
            </w:r>
          </w:p>
          <w:p w14:paraId="741D8DE0" w14:textId="77777777" w:rsidR="00623EE0" w:rsidRPr="00446D39" w:rsidRDefault="00623EE0" w:rsidP="00155ED2">
            <w:pPr>
              <w:jc w:val="both"/>
              <w:rPr>
                <w:rStyle w:val="fontstyle01"/>
                <w:rFonts w:eastAsiaTheme="majorEastAsia"/>
                <w:sz w:val="20"/>
                <w:szCs w:val="20"/>
              </w:rPr>
            </w:pPr>
            <w:r w:rsidRPr="00446D39">
              <w:rPr>
                <w:rStyle w:val="fontstyle01"/>
                <w:rFonts w:eastAsiaTheme="majorEastAsia"/>
                <w:sz w:val="20"/>
                <w:szCs w:val="20"/>
              </w:rPr>
              <w:t>3. Vegetation zoning and landscape basis of BiH (horizontal and vertical profile of the landscape in BiH)</w:t>
            </w:r>
          </w:p>
          <w:p w14:paraId="2CD8B78C" w14:textId="77777777" w:rsidR="00623EE0" w:rsidRPr="00446D39" w:rsidRDefault="00623EE0" w:rsidP="00155ED2">
            <w:pPr>
              <w:jc w:val="both"/>
              <w:rPr>
                <w:rStyle w:val="fontstyle01"/>
                <w:rFonts w:eastAsiaTheme="majorEastAsia"/>
                <w:sz w:val="20"/>
                <w:szCs w:val="20"/>
              </w:rPr>
            </w:pPr>
            <w:r w:rsidRPr="00446D39">
              <w:rPr>
                <w:rStyle w:val="fontstyle01"/>
                <w:rFonts w:eastAsiaTheme="majorEastAsia"/>
                <w:sz w:val="20"/>
                <w:szCs w:val="20"/>
              </w:rPr>
              <w:t>4. Landscape valorization (land assessment, geology, natural communities, etc.)</w:t>
            </w:r>
          </w:p>
          <w:p w14:paraId="1106425D" w14:textId="77777777" w:rsidR="00623EE0" w:rsidRPr="00446D39" w:rsidRDefault="00623EE0" w:rsidP="00155ED2">
            <w:pPr>
              <w:jc w:val="both"/>
              <w:rPr>
                <w:rStyle w:val="fontstyle01"/>
                <w:rFonts w:eastAsiaTheme="majorEastAsia"/>
                <w:sz w:val="20"/>
                <w:szCs w:val="20"/>
              </w:rPr>
            </w:pPr>
            <w:r w:rsidRPr="00446D39">
              <w:rPr>
                <w:rStyle w:val="fontstyle01"/>
                <w:rFonts w:eastAsiaTheme="majorEastAsia"/>
                <w:sz w:val="20"/>
                <w:szCs w:val="20"/>
              </w:rPr>
              <w:t>5. Landscape as cultural and historical heritage, endangered habitat and conservation measures</w:t>
            </w:r>
          </w:p>
          <w:p w14:paraId="382CAEB8" w14:textId="77777777" w:rsidR="00623EE0" w:rsidRPr="00446D39" w:rsidRDefault="00623EE0" w:rsidP="00155ED2">
            <w:pPr>
              <w:jc w:val="both"/>
              <w:rPr>
                <w:rStyle w:val="fontstyle01"/>
                <w:rFonts w:eastAsiaTheme="majorEastAsia"/>
                <w:sz w:val="20"/>
                <w:szCs w:val="20"/>
              </w:rPr>
            </w:pPr>
            <w:r w:rsidRPr="00446D39">
              <w:rPr>
                <w:rStyle w:val="fontstyle01"/>
                <w:rFonts w:eastAsiaTheme="majorEastAsia"/>
                <w:sz w:val="20"/>
                <w:szCs w:val="20"/>
              </w:rPr>
              <w:t>6. Studies, plans and projects for landscape protection, development of landscape plans</w:t>
            </w:r>
          </w:p>
          <w:p w14:paraId="2537A6E1" w14:textId="77777777" w:rsidR="00623EE0" w:rsidRPr="00446D39" w:rsidRDefault="00623EE0" w:rsidP="00155ED2">
            <w:pPr>
              <w:jc w:val="both"/>
              <w:rPr>
                <w:rStyle w:val="fontstyle01"/>
                <w:rFonts w:eastAsiaTheme="majorEastAsia"/>
                <w:sz w:val="20"/>
                <w:szCs w:val="20"/>
              </w:rPr>
            </w:pPr>
            <w:r w:rsidRPr="00446D39">
              <w:rPr>
                <w:rStyle w:val="fontstyle01"/>
                <w:rFonts w:eastAsiaTheme="majorEastAsia"/>
                <w:sz w:val="20"/>
                <w:szCs w:val="20"/>
              </w:rPr>
              <w:t>7. Corridor ecology</w:t>
            </w:r>
          </w:p>
          <w:p w14:paraId="6309DE01" w14:textId="77777777" w:rsidR="00623EE0" w:rsidRPr="00446D39" w:rsidRDefault="00623EE0" w:rsidP="00155ED2">
            <w:pPr>
              <w:jc w:val="both"/>
              <w:rPr>
                <w:rStyle w:val="fontstyle01"/>
                <w:rFonts w:eastAsiaTheme="majorEastAsia"/>
                <w:sz w:val="20"/>
                <w:szCs w:val="20"/>
              </w:rPr>
            </w:pPr>
            <w:r w:rsidRPr="00446D39">
              <w:rPr>
                <w:rStyle w:val="fontstyle01"/>
                <w:rFonts w:eastAsiaTheme="majorEastAsia"/>
                <w:sz w:val="20"/>
                <w:szCs w:val="20"/>
              </w:rPr>
              <w:t>8. Ecology of nonlinear landscape elements</w:t>
            </w:r>
          </w:p>
          <w:p w14:paraId="0C96A528" w14:textId="77777777" w:rsidR="00623EE0" w:rsidRPr="00446D39" w:rsidRDefault="00623EE0" w:rsidP="00155ED2">
            <w:pPr>
              <w:jc w:val="both"/>
              <w:rPr>
                <w:rStyle w:val="fontstyle01"/>
                <w:rFonts w:eastAsiaTheme="majorEastAsia"/>
                <w:sz w:val="20"/>
                <w:szCs w:val="20"/>
              </w:rPr>
            </w:pPr>
            <w:r w:rsidRPr="00446D39">
              <w:rPr>
                <w:rStyle w:val="fontstyle01"/>
                <w:rFonts w:eastAsiaTheme="majorEastAsia"/>
                <w:sz w:val="20"/>
                <w:szCs w:val="20"/>
              </w:rPr>
              <w:t>9. Urban ecology and elements of urban ecosystems, protection of cultural landscapes and urban spaces</w:t>
            </w:r>
          </w:p>
          <w:p w14:paraId="0A4AAC60" w14:textId="77777777" w:rsidR="00623EE0" w:rsidRPr="00446D39" w:rsidRDefault="00623EE0" w:rsidP="00155ED2">
            <w:pPr>
              <w:jc w:val="both"/>
              <w:rPr>
                <w:rStyle w:val="fontstyle01"/>
                <w:rFonts w:eastAsiaTheme="majorEastAsia"/>
                <w:sz w:val="20"/>
                <w:szCs w:val="20"/>
              </w:rPr>
            </w:pPr>
            <w:r w:rsidRPr="00446D39">
              <w:rPr>
                <w:rStyle w:val="fontstyle01"/>
                <w:rFonts w:eastAsiaTheme="majorEastAsia"/>
                <w:sz w:val="20"/>
                <w:szCs w:val="20"/>
              </w:rPr>
              <w:t>10. Urban space zoning, functions of greenery and urban greenery systems</w:t>
            </w:r>
          </w:p>
          <w:p w14:paraId="6DC3A53B" w14:textId="77777777" w:rsidR="00623EE0" w:rsidRPr="00446D39" w:rsidRDefault="00623EE0" w:rsidP="00155ED2">
            <w:pPr>
              <w:jc w:val="both"/>
              <w:rPr>
                <w:rStyle w:val="fontstyle01"/>
                <w:rFonts w:eastAsiaTheme="majorEastAsia"/>
                <w:sz w:val="20"/>
                <w:szCs w:val="20"/>
              </w:rPr>
            </w:pPr>
            <w:r w:rsidRPr="00446D39">
              <w:rPr>
                <w:rStyle w:val="fontstyle01"/>
                <w:rFonts w:eastAsiaTheme="majorEastAsia"/>
                <w:sz w:val="20"/>
                <w:szCs w:val="20"/>
              </w:rPr>
              <w:t>11. Sustainable rural development and protection of cultural and historical heritage of rural spaces</w:t>
            </w:r>
          </w:p>
          <w:p w14:paraId="05A6B7C8" w14:textId="77777777" w:rsidR="00623EE0" w:rsidRPr="00B12133" w:rsidRDefault="00623EE0" w:rsidP="00155ED2">
            <w:pPr>
              <w:jc w:val="both"/>
              <w:rPr>
                <w:b/>
                <w:iCs/>
                <w:sz w:val="20"/>
                <w:szCs w:val="20"/>
              </w:rPr>
            </w:pPr>
            <w:r w:rsidRPr="00446D39">
              <w:rPr>
                <w:rStyle w:val="fontstyle01"/>
                <w:rFonts w:eastAsiaTheme="majorEastAsia"/>
                <w:sz w:val="20"/>
                <w:szCs w:val="20"/>
              </w:rPr>
              <w:t>12. Protected areas, parks - forests and forests - parks</w:t>
            </w:r>
          </w:p>
        </w:tc>
      </w:tr>
      <w:tr w:rsidR="00623EE0" w:rsidRPr="0027558B" w14:paraId="39530727"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5CA81A32" w14:textId="77777777" w:rsidR="00623EE0" w:rsidRPr="00276511" w:rsidRDefault="00623EE0" w:rsidP="00155ED2">
            <w:pPr>
              <w:jc w:val="center"/>
              <w:rPr>
                <w:b/>
                <w:sz w:val="20"/>
                <w:szCs w:val="20"/>
              </w:rPr>
            </w:pPr>
            <w:r w:rsidRPr="00DA0034">
              <w:rPr>
                <w:b/>
                <w:sz w:val="20"/>
                <w:szCs w:val="20"/>
              </w:rPr>
              <w:t>Teaching methods /learning methods:</w:t>
            </w:r>
          </w:p>
        </w:tc>
        <w:tc>
          <w:tcPr>
            <w:tcW w:w="6974" w:type="dxa"/>
            <w:gridSpan w:val="2"/>
            <w:tcBorders>
              <w:left w:val="double" w:sz="4" w:space="0" w:color="auto"/>
            </w:tcBorders>
            <w:vAlign w:val="center"/>
          </w:tcPr>
          <w:p w14:paraId="3801D4F2" w14:textId="77777777" w:rsidR="00623EE0" w:rsidRPr="00227520" w:rsidRDefault="00623EE0" w:rsidP="00155ED2">
            <w:pPr>
              <w:jc w:val="both"/>
              <w:rPr>
                <w:sz w:val="20"/>
                <w:szCs w:val="20"/>
              </w:rPr>
            </w:pPr>
            <w:r w:rsidRPr="00663DD4">
              <w:rPr>
                <w:sz w:val="20"/>
                <w:szCs w:val="20"/>
              </w:rPr>
              <w:t>Lectures, fieldwork, practical work</w:t>
            </w:r>
          </w:p>
        </w:tc>
      </w:tr>
      <w:tr w:rsidR="00623EE0" w:rsidRPr="0027558B" w14:paraId="326B7464"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414648B2" w14:textId="77777777" w:rsidR="00623EE0" w:rsidRPr="00276511" w:rsidRDefault="00623EE0" w:rsidP="00155ED2">
            <w:pPr>
              <w:jc w:val="center"/>
              <w:rPr>
                <w:b/>
                <w:sz w:val="20"/>
                <w:szCs w:val="20"/>
              </w:rPr>
            </w:pPr>
            <w:r w:rsidRPr="00DA0034">
              <w:rPr>
                <w:b/>
                <w:sz w:val="20"/>
                <w:szCs w:val="20"/>
              </w:rPr>
              <w:t xml:space="preserve">Other Student Obligations (if </w:t>
            </w:r>
            <w:r>
              <w:rPr>
                <w:b/>
                <w:sz w:val="20"/>
                <w:szCs w:val="20"/>
              </w:rPr>
              <w:t>foreseen</w:t>
            </w:r>
            <w:r w:rsidRPr="00DA0034">
              <w:rPr>
                <w:b/>
                <w:sz w:val="20"/>
                <w:szCs w:val="20"/>
              </w:rPr>
              <w:t>):</w:t>
            </w:r>
          </w:p>
        </w:tc>
        <w:tc>
          <w:tcPr>
            <w:tcW w:w="6974" w:type="dxa"/>
            <w:gridSpan w:val="2"/>
            <w:tcBorders>
              <w:left w:val="double" w:sz="4" w:space="0" w:color="auto"/>
            </w:tcBorders>
            <w:vAlign w:val="center"/>
          </w:tcPr>
          <w:p w14:paraId="405FB339" w14:textId="77777777" w:rsidR="00623EE0" w:rsidRPr="00227520" w:rsidRDefault="00623EE0" w:rsidP="00155ED2">
            <w:pPr>
              <w:jc w:val="center"/>
              <w:rPr>
                <w:spacing w:val="-3"/>
                <w:sz w:val="20"/>
                <w:szCs w:val="20"/>
              </w:rPr>
            </w:pPr>
            <w:r>
              <w:rPr>
                <w:spacing w:val="-3"/>
                <w:sz w:val="20"/>
                <w:szCs w:val="20"/>
              </w:rPr>
              <w:t>No</w:t>
            </w:r>
          </w:p>
        </w:tc>
      </w:tr>
      <w:tr w:rsidR="00623EE0" w:rsidRPr="0027558B" w14:paraId="77DCAD42"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5F5CDC45" w14:textId="77777777" w:rsidR="00623EE0" w:rsidRPr="00276511" w:rsidRDefault="00623EE0" w:rsidP="00155ED2">
            <w:pPr>
              <w:jc w:val="center"/>
              <w:rPr>
                <w:b/>
                <w:sz w:val="20"/>
                <w:szCs w:val="20"/>
              </w:rPr>
            </w:pPr>
            <w:r w:rsidRPr="00DA0034">
              <w:rPr>
                <w:b/>
                <w:sz w:val="20"/>
                <w:szCs w:val="20"/>
              </w:rPr>
              <w:t>Assessment Methods / Methods of Examination</w:t>
            </w:r>
          </w:p>
        </w:tc>
        <w:tc>
          <w:tcPr>
            <w:tcW w:w="6974" w:type="dxa"/>
            <w:gridSpan w:val="2"/>
            <w:tcBorders>
              <w:left w:val="double" w:sz="4" w:space="0" w:color="auto"/>
            </w:tcBorders>
            <w:vAlign w:val="center"/>
          </w:tcPr>
          <w:p w14:paraId="087B28E6" w14:textId="77777777" w:rsidR="00623EE0" w:rsidRPr="00227520" w:rsidRDefault="00623EE0" w:rsidP="00155ED2">
            <w:pPr>
              <w:jc w:val="both"/>
              <w:rPr>
                <w:sz w:val="20"/>
                <w:szCs w:val="20"/>
              </w:rPr>
            </w:pPr>
            <w:r w:rsidRPr="00663DD4">
              <w:rPr>
                <w:sz w:val="20"/>
                <w:szCs w:val="20"/>
              </w:rPr>
              <w:t>Two tests (1 hour each) 20%; Final examination: 60%; Term paper attendance, activity: 20%;</w:t>
            </w:r>
          </w:p>
        </w:tc>
      </w:tr>
      <w:tr w:rsidR="00623EE0" w:rsidRPr="0027558B" w14:paraId="16620F81" w14:textId="77777777" w:rsidTr="00155ED2">
        <w:tc>
          <w:tcPr>
            <w:tcW w:w="3313" w:type="dxa"/>
            <w:tcBorders>
              <w:top w:val="single" w:sz="4" w:space="0" w:color="auto"/>
              <w:bottom w:val="single" w:sz="4" w:space="0" w:color="auto"/>
              <w:right w:val="double" w:sz="4" w:space="0" w:color="auto"/>
            </w:tcBorders>
            <w:shd w:val="clear" w:color="auto" w:fill="CCCCCC"/>
            <w:vAlign w:val="center"/>
          </w:tcPr>
          <w:p w14:paraId="67EFB589" w14:textId="77777777" w:rsidR="00623EE0" w:rsidRPr="00DA0034" w:rsidRDefault="00623EE0" w:rsidP="00155ED2">
            <w:pPr>
              <w:jc w:val="center"/>
              <w:rPr>
                <w:b/>
                <w:sz w:val="20"/>
                <w:szCs w:val="20"/>
              </w:rPr>
            </w:pPr>
            <w:r w:rsidRPr="00DA0034">
              <w:rPr>
                <w:b/>
                <w:sz w:val="20"/>
                <w:szCs w:val="20"/>
              </w:rPr>
              <w:t>List of basic litera</w:t>
            </w:r>
            <w:r>
              <w:rPr>
                <w:b/>
                <w:sz w:val="20"/>
                <w:szCs w:val="20"/>
              </w:rPr>
              <w:t>ture and</w:t>
            </w:r>
          </w:p>
          <w:p w14:paraId="72142CA5" w14:textId="77777777" w:rsidR="00623EE0" w:rsidRPr="00276511" w:rsidRDefault="00623EE0" w:rsidP="00155ED2">
            <w:pPr>
              <w:jc w:val="center"/>
              <w:rPr>
                <w:b/>
                <w:sz w:val="20"/>
                <w:szCs w:val="20"/>
              </w:rPr>
            </w:pPr>
            <w:r w:rsidRPr="00DA0034">
              <w:rPr>
                <w:b/>
                <w:sz w:val="20"/>
                <w:szCs w:val="20"/>
              </w:rPr>
              <w:t>Internet web references:</w:t>
            </w:r>
          </w:p>
        </w:tc>
        <w:tc>
          <w:tcPr>
            <w:tcW w:w="6974" w:type="dxa"/>
            <w:gridSpan w:val="2"/>
            <w:tcBorders>
              <w:left w:val="double" w:sz="4" w:space="0" w:color="auto"/>
            </w:tcBorders>
          </w:tcPr>
          <w:p w14:paraId="0B01BB05" w14:textId="77777777" w:rsidR="00623EE0" w:rsidRPr="00D43326" w:rsidRDefault="00623EE0" w:rsidP="00623EE0">
            <w:pPr>
              <w:numPr>
                <w:ilvl w:val="0"/>
                <w:numId w:val="1"/>
              </w:numPr>
              <w:jc w:val="both"/>
              <w:rPr>
                <w:rStyle w:val="fontstyle01"/>
                <w:rFonts w:eastAsiaTheme="majorEastAsia"/>
                <w:lang w:eastAsia="bs-Latn-BA"/>
              </w:rPr>
            </w:pPr>
            <w:r w:rsidRPr="00A16514">
              <w:rPr>
                <w:rStyle w:val="fontstyle01"/>
                <w:rFonts w:eastAsiaTheme="majorEastAsia"/>
                <w:lang w:val="it-IT"/>
              </w:rPr>
              <w:t>Cvejić, J. (1999.): Tipologija predela (Predeona ekologija), Beograd</w:t>
            </w:r>
          </w:p>
          <w:p w14:paraId="5C7052B5" w14:textId="77777777" w:rsidR="00623EE0" w:rsidRPr="00D43326" w:rsidRDefault="00623EE0" w:rsidP="00623EE0">
            <w:pPr>
              <w:numPr>
                <w:ilvl w:val="0"/>
                <w:numId w:val="1"/>
              </w:numPr>
              <w:jc w:val="both"/>
              <w:rPr>
                <w:rStyle w:val="fontstyle01"/>
                <w:rFonts w:eastAsiaTheme="majorEastAsia"/>
                <w:lang w:eastAsia="bs-Latn-BA"/>
              </w:rPr>
            </w:pPr>
            <w:r>
              <w:rPr>
                <w:rStyle w:val="fontstyle01"/>
                <w:rFonts w:eastAsiaTheme="majorEastAsia"/>
              </w:rPr>
              <w:t>Lješević, M., (2002.): Ruralna ekologija, Beograd</w:t>
            </w:r>
          </w:p>
          <w:p w14:paraId="5C21C3D1" w14:textId="77777777" w:rsidR="00623EE0" w:rsidRPr="004905A6" w:rsidRDefault="00623EE0" w:rsidP="00623EE0">
            <w:pPr>
              <w:numPr>
                <w:ilvl w:val="0"/>
                <w:numId w:val="1"/>
              </w:numPr>
              <w:jc w:val="both"/>
            </w:pPr>
            <w:r w:rsidRPr="004C03C0">
              <w:rPr>
                <w:rStyle w:val="fontstyle01"/>
                <w:rFonts w:eastAsiaTheme="majorEastAsia"/>
              </w:rPr>
              <w:t>Temim, E., (2010.): Oblikovanje park – šume, Univerzitet „Dţ.</w:t>
            </w:r>
            <w:r w:rsidRPr="004C03C0">
              <w:rPr>
                <w:color w:val="000000"/>
                <w:sz w:val="18"/>
                <w:szCs w:val="18"/>
              </w:rPr>
              <w:br/>
            </w:r>
            <w:r>
              <w:rPr>
                <w:rStyle w:val="fontstyle01"/>
                <w:rFonts w:eastAsiaTheme="majorEastAsia"/>
              </w:rPr>
              <w:t>Bijedić“Agromediteranski fakultet, Mostar (lectures material)</w:t>
            </w:r>
          </w:p>
        </w:tc>
      </w:tr>
      <w:tr w:rsidR="00623EE0" w:rsidRPr="0027558B" w14:paraId="0079ABE7" w14:textId="77777777" w:rsidTr="00155ED2">
        <w:tc>
          <w:tcPr>
            <w:tcW w:w="3313" w:type="dxa"/>
            <w:tcBorders>
              <w:top w:val="single" w:sz="4" w:space="0" w:color="auto"/>
              <w:bottom w:val="double" w:sz="4" w:space="0" w:color="auto"/>
              <w:right w:val="double" w:sz="4" w:space="0" w:color="auto"/>
            </w:tcBorders>
            <w:shd w:val="clear" w:color="auto" w:fill="CCCCCC"/>
            <w:vAlign w:val="center"/>
          </w:tcPr>
          <w:p w14:paraId="4AF994E4" w14:textId="77777777" w:rsidR="00623EE0" w:rsidRPr="00276511" w:rsidRDefault="00623EE0" w:rsidP="00155ED2">
            <w:pPr>
              <w:jc w:val="center"/>
              <w:rPr>
                <w:b/>
                <w:sz w:val="20"/>
                <w:szCs w:val="20"/>
              </w:rPr>
            </w:pPr>
            <w:r>
              <w:rPr>
                <w:b/>
                <w:sz w:val="20"/>
                <w:szCs w:val="20"/>
              </w:rPr>
              <w:t xml:space="preserve">Quality </w:t>
            </w:r>
            <w:r w:rsidRPr="00E05C98">
              <w:rPr>
                <w:b/>
                <w:sz w:val="20"/>
                <w:szCs w:val="20"/>
              </w:rPr>
              <w:t>assurance and performance of the subjec</w:t>
            </w:r>
            <w:r>
              <w:rPr>
                <w:b/>
                <w:sz w:val="20"/>
                <w:szCs w:val="20"/>
              </w:rPr>
              <w:t>t</w:t>
            </w:r>
          </w:p>
        </w:tc>
        <w:tc>
          <w:tcPr>
            <w:tcW w:w="6974" w:type="dxa"/>
            <w:gridSpan w:val="2"/>
            <w:tcBorders>
              <w:left w:val="double" w:sz="4" w:space="0" w:color="auto"/>
            </w:tcBorders>
            <w:vAlign w:val="center"/>
          </w:tcPr>
          <w:p w14:paraId="63D1BE2D" w14:textId="77777777" w:rsidR="00623EE0" w:rsidRPr="004905A6" w:rsidRDefault="00623EE0" w:rsidP="00155ED2">
            <w:pPr>
              <w:jc w:val="both"/>
              <w:rPr>
                <w:sz w:val="20"/>
                <w:szCs w:val="20"/>
              </w:rPr>
            </w:pPr>
            <w:r w:rsidRPr="00A61A2B">
              <w:rPr>
                <w:sz w:val="20"/>
                <w:szCs w:val="20"/>
              </w:rPr>
              <w:t>Student evaluation of performance quality, survey of subject holders; periodic reports of the teaching staff on the lessons held and all forms of knowledge testing with suggestions for improvement.</w:t>
            </w:r>
          </w:p>
        </w:tc>
      </w:tr>
    </w:tbl>
    <w:p w14:paraId="6502F812" w14:textId="6E9FA0DA" w:rsidR="005D0CB1" w:rsidRPr="00623EE0" w:rsidRDefault="005D0CB1"/>
    <w:sectPr w:rsidR="005D0CB1" w:rsidRPr="00623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5418E"/>
    <w:multiLevelType w:val="hybridMultilevel"/>
    <w:tmpl w:val="728496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61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E0"/>
    <w:rsid w:val="00124756"/>
    <w:rsid w:val="005D0CB1"/>
    <w:rsid w:val="00623EE0"/>
    <w:rsid w:val="00BB2866"/>
    <w:rsid w:val="00EC4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A6F8"/>
  <w15:chartTrackingRefBased/>
  <w15:docId w15:val="{1CF60EFC-0337-462E-A2DC-76BE5649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EE0"/>
    <w:pPr>
      <w:spacing w:after="0" w:line="240" w:lineRule="auto"/>
    </w:pPr>
    <w:rPr>
      <w:rFonts w:ascii="Times New Roman" w:eastAsia="Times New Roman" w:hAnsi="Times New Roman" w:cs="Times New Roman"/>
      <w:kern w:val="0"/>
      <w:sz w:val="24"/>
      <w:szCs w:val="24"/>
      <w:lang w:val="bs-Latn-BA"/>
      <w14:ligatures w14:val="none"/>
    </w:rPr>
  </w:style>
  <w:style w:type="paragraph" w:styleId="Heading1">
    <w:name w:val="heading 1"/>
    <w:basedOn w:val="Normal"/>
    <w:next w:val="Normal"/>
    <w:link w:val="Heading1Char"/>
    <w:qFormat/>
    <w:rsid w:val="00623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E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E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E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E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EE0"/>
    <w:rPr>
      <w:rFonts w:eastAsiaTheme="majorEastAsia" w:cstheme="majorBidi"/>
      <w:color w:val="272727" w:themeColor="text1" w:themeTint="D8"/>
    </w:rPr>
  </w:style>
  <w:style w:type="paragraph" w:styleId="Title">
    <w:name w:val="Title"/>
    <w:basedOn w:val="Normal"/>
    <w:next w:val="Normal"/>
    <w:link w:val="TitleChar"/>
    <w:uiPriority w:val="10"/>
    <w:qFormat/>
    <w:rsid w:val="00623E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EE0"/>
    <w:pPr>
      <w:spacing w:before="160"/>
      <w:jc w:val="center"/>
    </w:pPr>
    <w:rPr>
      <w:i/>
      <w:iCs/>
      <w:color w:val="404040" w:themeColor="text1" w:themeTint="BF"/>
    </w:rPr>
  </w:style>
  <w:style w:type="character" w:customStyle="1" w:styleId="QuoteChar">
    <w:name w:val="Quote Char"/>
    <w:basedOn w:val="DefaultParagraphFont"/>
    <w:link w:val="Quote"/>
    <w:uiPriority w:val="29"/>
    <w:rsid w:val="00623EE0"/>
    <w:rPr>
      <w:i/>
      <w:iCs/>
      <w:color w:val="404040" w:themeColor="text1" w:themeTint="BF"/>
    </w:rPr>
  </w:style>
  <w:style w:type="paragraph" w:styleId="ListParagraph">
    <w:name w:val="List Paragraph"/>
    <w:basedOn w:val="Normal"/>
    <w:uiPriority w:val="34"/>
    <w:qFormat/>
    <w:rsid w:val="00623EE0"/>
    <w:pPr>
      <w:ind w:left="720"/>
      <w:contextualSpacing/>
    </w:pPr>
  </w:style>
  <w:style w:type="character" w:styleId="IntenseEmphasis">
    <w:name w:val="Intense Emphasis"/>
    <w:basedOn w:val="DefaultParagraphFont"/>
    <w:uiPriority w:val="21"/>
    <w:qFormat/>
    <w:rsid w:val="00623EE0"/>
    <w:rPr>
      <w:i/>
      <w:iCs/>
      <w:color w:val="0F4761" w:themeColor="accent1" w:themeShade="BF"/>
    </w:rPr>
  </w:style>
  <w:style w:type="paragraph" w:styleId="IntenseQuote">
    <w:name w:val="Intense Quote"/>
    <w:basedOn w:val="Normal"/>
    <w:next w:val="Normal"/>
    <w:link w:val="IntenseQuoteChar"/>
    <w:uiPriority w:val="30"/>
    <w:qFormat/>
    <w:rsid w:val="00623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EE0"/>
    <w:rPr>
      <w:i/>
      <w:iCs/>
      <w:color w:val="0F4761" w:themeColor="accent1" w:themeShade="BF"/>
    </w:rPr>
  </w:style>
  <w:style w:type="character" w:styleId="IntenseReference">
    <w:name w:val="Intense Reference"/>
    <w:basedOn w:val="DefaultParagraphFont"/>
    <w:uiPriority w:val="32"/>
    <w:qFormat/>
    <w:rsid w:val="00623EE0"/>
    <w:rPr>
      <w:b/>
      <w:bCs/>
      <w:smallCaps/>
      <w:color w:val="0F4761" w:themeColor="accent1" w:themeShade="BF"/>
      <w:spacing w:val="5"/>
    </w:rPr>
  </w:style>
  <w:style w:type="character" w:customStyle="1" w:styleId="fontstyle01">
    <w:name w:val="fontstyle01"/>
    <w:rsid w:val="00623EE0"/>
    <w:rPr>
      <w:rFonts w:ascii="Times New Roman"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2668</Characters>
  <Application>Microsoft Office Word</Application>
  <DocSecurity>0</DocSecurity>
  <Lines>95</Lines>
  <Paragraphs>68</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 Student</dc:creator>
  <cp:keywords/>
  <dc:description/>
  <cp:lastModifiedBy>IRO Student</cp:lastModifiedBy>
  <cp:revision>1</cp:revision>
  <dcterms:created xsi:type="dcterms:W3CDTF">2025-12-12T08:51:00Z</dcterms:created>
  <dcterms:modified xsi:type="dcterms:W3CDTF">2025-12-12T08:51:00Z</dcterms:modified>
</cp:coreProperties>
</file>